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8628A">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rPr>
          <w:rFonts w:hint="eastAsia" w:ascii="宋体" w:hAnsi="宋体" w:eastAsia="宋体" w:cs="宋体"/>
          <w:b/>
          <w:bCs/>
          <w:color w:val="auto"/>
          <w:spacing w:val="0"/>
          <w:position w:val="0"/>
          <w:sz w:val="31"/>
          <w:szCs w:val="31"/>
          <w:highlight w:val="none"/>
        </w:rPr>
      </w:pPr>
      <w:bookmarkStart w:id="0" w:name="_Toc26446"/>
      <w:r>
        <w:rPr>
          <w:rFonts w:hint="eastAsia" w:ascii="宋体" w:hAnsi="宋体" w:eastAsia="宋体" w:cs="宋体"/>
          <w:b/>
          <w:bCs/>
          <w:color w:val="auto"/>
          <w:spacing w:val="0"/>
          <w:position w:val="0"/>
          <w:sz w:val="31"/>
          <w:szCs w:val="31"/>
          <w:highlight w:val="none"/>
        </w:rPr>
        <w:t>第八章 拟签订采购合同文本</w:t>
      </w:r>
      <w:bookmarkEnd w:id="0"/>
    </w:p>
    <w:p w14:paraId="22C6C8DC">
      <w:pPr>
        <w:pStyle w:val="2"/>
        <w:spacing w:line="366" w:lineRule="auto"/>
        <w:outlineLvl w:val="9"/>
        <w:rPr>
          <w:color w:val="auto"/>
          <w:highlight w:val="none"/>
        </w:rPr>
      </w:pPr>
    </w:p>
    <w:p w14:paraId="73EB6351">
      <w:pPr>
        <w:spacing w:line="360" w:lineRule="auto"/>
        <w:jc w:val="left"/>
        <w:outlineLvl w:val="9"/>
        <w:rPr>
          <w:rFonts w:hint="eastAsia" w:ascii="宋体" w:hAnsi="宋体" w:eastAsia="宋体" w:cs="宋体"/>
          <w:color w:val="auto"/>
          <w:sz w:val="24"/>
          <w:szCs w:val="32"/>
          <w:highlight w:val="none"/>
        </w:rPr>
      </w:pPr>
      <w:r>
        <w:rPr>
          <w:rFonts w:hint="eastAsia" w:ascii="宋体" w:hAnsi="宋体" w:cs="宋体"/>
          <w:color w:val="auto"/>
          <w:sz w:val="24"/>
          <w:highlight w:val="none"/>
        </w:rPr>
        <w:t>详见附件：合同草案条款.docx</w:t>
      </w:r>
    </w:p>
    <w:p w14:paraId="0B5BB850">
      <w:pPr>
        <w:keepNext w:val="0"/>
        <w:keepLines w:val="0"/>
        <w:pageBreakBefore w:val="0"/>
        <w:widowControl w:val="0"/>
        <w:tabs>
          <w:tab w:val="left" w:pos="1427"/>
        </w:tabs>
        <w:kinsoku/>
        <w:wordWrap/>
        <w:overflowPunct/>
        <w:topLinePunct w:val="0"/>
        <w:autoSpaceDE/>
        <w:autoSpaceDN/>
        <w:bidi w:val="0"/>
        <w:adjustRightInd/>
        <w:snapToGrid/>
        <w:ind w:firstLine="0" w:firstLineChars="0"/>
        <w:jc w:val="center"/>
        <w:textAlignment w:val="auto"/>
        <w:rPr>
          <w:rFonts w:ascii="宋体" w:hAnsi="宋体" w:cs="宋体"/>
          <w:color w:val="auto"/>
          <w:sz w:val="32"/>
          <w:szCs w:val="32"/>
          <w:highlight w:val="none"/>
        </w:rPr>
      </w:pPr>
      <w:r>
        <w:rPr>
          <w:rFonts w:hint="eastAsia" w:ascii="宋体" w:hAnsi="宋体" w:cs="宋体"/>
          <w:b/>
          <w:bCs/>
          <w:color w:val="auto"/>
          <w:sz w:val="32"/>
          <w:szCs w:val="32"/>
          <w:highlight w:val="none"/>
        </w:rPr>
        <w:t>合同草案条款</w:t>
      </w:r>
    </w:p>
    <w:p w14:paraId="57835FD4">
      <w:pPr>
        <w:keepNext w:val="0"/>
        <w:keepLines w:val="0"/>
        <w:pageBreakBefore w:val="0"/>
        <w:widowControl w:val="0"/>
        <w:tabs>
          <w:tab w:val="left" w:pos="735"/>
        </w:tabs>
        <w:kinsoku/>
        <w:wordWrap/>
        <w:overflowPunct/>
        <w:topLinePunct w:val="0"/>
        <w:autoSpaceDE w:val="0"/>
        <w:autoSpaceDN w:val="0"/>
        <w:bidi w:val="0"/>
        <w:adjustRightInd w:val="0"/>
        <w:snapToGrid/>
        <w:spacing w:line="360" w:lineRule="auto"/>
        <w:ind w:firstLine="631"/>
        <w:rPr>
          <w:rFonts w:ascii="宋体" w:hAnsi="宋体" w:eastAsiaTheme="minorEastAsia"/>
          <w:b/>
          <w:bCs/>
          <w:color w:val="auto"/>
          <w:sz w:val="24"/>
          <w:highlight w:val="none"/>
        </w:rPr>
      </w:pPr>
      <w:r>
        <w:rPr>
          <w:rFonts w:hint="eastAsia" w:ascii="宋体" w:hAnsi="宋体"/>
          <w:b/>
          <w:bCs/>
          <w:color w:val="auto"/>
          <w:sz w:val="24"/>
          <w:highlight w:val="none"/>
          <w:lang w:val="zh-CN"/>
        </w:rPr>
        <w:t>采购人（以下简称甲方）：</w:t>
      </w:r>
      <w:r>
        <w:rPr>
          <w:rFonts w:hint="eastAsia" w:ascii="宋体" w:hAnsi="宋体"/>
          <w:b/>
          <w:bCs/>
          <w:color w:val="auto"/>
          <w:sz w:val="24"/>
          <w:highlight w:val="none"/>
          <w:u w:val="single"/>
        </w:rPr>
        <w:t xml:space="preserve">                         </w:t>
      </w:r>
    </w:p>
    <w:p w14:paraId="12E9136E">
      <w:pPr>
        <w:keepNext w:val="0"/>
        <w:keepLines w:val="0"/>
        <w:pageBreakBefore w:val="0"/>
        <w:widowControl w:val="0"/>
        <w:tabs>
          <w:tab w:val="left" w:pos="735"/>
        </w:tabs>
        <w:kinsoku/>
        <w:wordWrap/>
        <w:overflowPunct/>
        <w:topLinePunct w:val="0"/>
        <w:autoSpaceDE w:val="0"/>
        <w:autoSpaceDN w:val="0"/>
        <w:bidi w:val="0"/>
        <w:adjustRightInd w:val="0"/>
        <w:snapToGrid/>
        <w:spacing w:line="360" w:lineRule="auto"/>
        <w:ind w:firstLine="631"/>
        <w:rPr>
          <w:rFonts w:ascii="宋体" w:hAnsi="宋体"/>
          <w:bCs/>
          <w:color w:val="auto"/>
          <w:sz w:val="24"/>
          <w:highlight w:val="none"/>
          <w:lang w:val="zh-CN"/>
        </w:rPr>
      </w:pPr>
      <w:r>
        <w:rPr>
          <w:rFonts w:hint="eastAsia" w:ascii="宋体" w:hAnsi="宋体"/>
          <w:b/>
          <w:bCs/>
          <w:color w:val="auto"/>
          <w:sz w:val="24"/>
          <w:highlight w:val="none"/>
          <w:lang w:val="zh-CN"/>
        </w:rPr>
        <w:t>供应商（以下简称乙方）：</w:t>
      </w:r>
      <w:r>
        <w:rPr>
          <w:rFonts w:hint="eastAsia" w:ascii="宋体" w:hAnsi="宋体"/>
          <w:b/>
          <w:bCs/>
          <w:color w:val="auto"/>
          <w:sz w:val="24"/>
          <w:highlight w:val="none"/>
          <w:u w:val="single"/>
          <w:lang w:val="zh-CN"/>
        </w:rPr>
        <w:t xml:space="preserve">                         </w:t>
      </w:r>
    </w:p>
    <w:p w14:paraId="361D467D">
      <w:pPr>
        <w:keepNext w:val="0"/>
        <w:keepLines w:val="0"/>
        <w:pageBreakBefore w:val="0"/>
        <w:kinsoku/>
        <w:wordWrap/>
        <w:overflowPunct/>
        <w:topLinePunct w:val="0"/>
        <w:bidi w:val="0"/>
        <w:spacing w:line="360" w:lineRule="auto"/>
        <w:ind w:firstLine="480" w:firstLineChars="200"/>
        <w:rPr>
          <w:rFonts w:ascii="宋体"/>
          <w:kern w:val="0"/>
          <w:sz w:val="24"/>
          <w:szCs w:val="24"/>
          <w:highlight w:val="none"/>
          <w:u w:val="none" w:color="000000"/>
        </w:rPr>
      </w:pPr>
      <w:r>
        <w:rPr>
          <w:rFonts w:hint="eastAsia" w:ascii="宋体" w:hAnsi="宋体" w:cs="宋体"/>
          <w:color w:val="auto"/>
          <w:sz w:val="24"/>
          <w:highlight w:val="none"/>
        </w:rPr>
        <w:t>根据</w:t>
      </w:r>
      <w:r>
        <w:rPr>
          <w:rFonts w:hint="eastAsia" w:ascii="宋体" w:hAnsi="宋体" w:cs="宋体"/>
          <w:sz w:val="24"/>
          <w:szCs w:val="24"/>
          <w:highlight w:val="none"/>
        </w:rPr>
        <w:t>《中华人民共和国政府采购法》、《</w:t>
      </w:r>
      <w:r>
        <w:rPr>
          <w:rFonts w:hint="eastAsia" w:ascii="宋体" w:hAnsi="宋体" w:cs="宋体"/>
          <w:sz w:val="24"/>
          <w:szCs w:val="24"/>
          <w:highlight w:val="none"/>
          <w:lang w:eastAsia="zh-CN"/>
        </w:rPr>
        <w:t>中华人民共和国民法典</w:t>
      </w:r>
      <w:r>
        <w:rPr>
          <w:rFonts w:hint="eastAsia" w:ascii="宋体" w:hAnsi="宋体" w:cs="宋体"/>
          <w:sz w:val="24"/>
          <w:szCs w:val="24"/>
          <w:highlight w:val="none"/>
        </w:rPr>
        <w:t>》等法律法规，甲、乙双方就</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采购项目</w:t>
      </w:r>
      <w:r>
        <w:rPr>
          <w:rFonts w:hint="eastAsia" w:ascii="宋体" w:hAnsi="宋体" w:cs="宋体"/>
          <w:color w:val="auto"/>
          <w:sz w:val="24"/>
          <w:highlight w:val="none"/>
        </w:rPr>
        <w:t>事宜，经协商一致，达成如下协议：</w:t>
      </w:r>
    </w:p>
    <w:p w14:paraId="6F6A483D">
      <w:pPr>
        <w:pStyle w:val="5"/>
        <w:keepNext w:val="0"/>
        <w:keepLines w:val="0"/>
        <w:pageBreakBefore w:val="0"/>
        <w:kinsoku/>
        <w:wordWrap/>
        <w:overflowPunct/>
        <w:topLinePunct w:val="0"/>
        <w:bidi w:val="0"/>
        <w:spacing w:line="360" w:lineRule="auto"/>
        <w:ind w:firstLine="0" w:firstLineChars="0"/>
        <w:jc w:val="left"/>
        <w:rPr>
          <w:rFonts w:ascii="宋体" w:hAnsi="宋体" w:cs="宋体"/>
          <w:b/>
          <w:color w:val="auto"/>
          <w:sz w:val="24"/>
          <w:szCs w:val="22"/>
          <w:highlight w:val="none"/>
        </w:rPr>
      </w:pPr>
      <w:r>
        <w:rPr>
          <w:rFonts w:hint="eastAsia" w:ascii="宋体" w:hAnsi="宋体" w:cs="宋体"/>
          <w:b/>
          <w:bCs/>
          <w:kern w:val="0"/>
          <w:sz w:val="24"/>
          <w:szCs w:val="24"/>
          <w:highlight w:val="none"/>
          <w:u w:val="none" w:color="000000"/>
        </w:rPr>
        <w:t>一、</w:t>
      </w:r>
      <w:r>
        <w:rPr>
          <w:rFonts w:hint="eastAsia" w:ascii="宋体" w:hAnsi="宋体" w:cs="宋体"/>
          <w:b/>
          <w:color w:val="auto"/>
          <w:sz w:val="24"/>
          <w:szCs w:val="22"/>
          <w:highlight w:val="none"/>
        </w:rPr>
        <w:t>合同内容</w:t>
      </w:r>
    </w:p>
    <w:p w14:paraId="347F6B34">
      <w:pPr>
        <w:pStyle w:val="5"/>
        <w:keepNext w:val="0"/>
        <w:keepLines w:val="0"/>
        <w:pageBreakBefore w:val="0"/>
        <w:kinsoku/>
        <w:wordWrap/>
        <w:overflowPunct/>
        <w:topLinePunct w:val="0"/>
        <w:bidi w:val="0"/>
        <w:spacing w:line="360" w:lineRule="auto"/>
        <w:ind w:firstLine="480"/>
        <w:jc w:val="left"/>
        <w:rPr>
          <w:rFonts w:ascii="宋体" w:hAnsi="宋体" w:cs="宋体"/>
          <w:color w:val="auto"/>
          <w:sz w:val="24"/>
          <w:highlight w:val="none"/>
        </w:rPr>
      </w:pPr>
      <w:r>
        <w:rPr>
          <w:rFonts w:hint="eastAsia" w:ascii="宋体" w:hAnsi="宋体" w:cs="宋体"/>
          <w:sz w:val="24"/>
          <w:highlight w:val="none"/>
          <w:lang w:eastAsia="zh-CN"/>
        </w:rPr>
        <w:t>西安领事馆区空调系统大修改造及维护保养服务，</w:t>
      </w:r>
      <w:r>
        <w:rPr>
          <w:rFonts w:hint="eastAsia" w:ascii="宋体" w:hAnsi="宋体" w:cs="宋体"/>
          <w:color w:val="auto"/>
          <w:sz w:val="24"/>
          <w:highlight w:val="none"/>
        </w:rPr>
        <w:t>具体内容详见磋商文件。</w:t>
      </w:r>
    </w:p>
    <w:p w14:paraId="2B55C46C">
      <w:pPr>
        <w:pStyle w:val="5"/>
        <w:keepNext w:val="0"/>
        <w:keepLines w:val="0"/>
        <w:pageBreakBefore w:val="0"/>
        <w:kinsoku/>
        <w:wordWrap/>
        <w:overflowPunct/>
        <w:topLinePunct w:val="0"/>
        <w:bidi w:val="0"/>
        <w:spacing w:line="360" w:lineRule="auto"/>
        <w:ind w:firstLine="0" w:firstLineChars="0"/>
        <w:jc w:val="left"/>
        <w:rPr>
          <w:rFonts w:ascii="宋体" w:hAnsi="宋体" w:cs="宋体"/>
          <w:b/>
          <w:color w:val="auto"/>
          <w:sz w:val="24"/>
          <w:szCs w:val="22"/>
          <w:highlight w:val="none"/>
        </w:rPr>
      </w:pPr>
      <w:r>
        <w:rPr>
          <w:rFonts w:hint="eastAsia" w:ascii="宋体" w:hAnsi="宋体" w:cs="宋体"/>
          <w:b/>
          <w:color w:val="auto"/>
          <w:sz w:val="24"/>
          <w:szCs w:val="22"/>
          <w:highlight w:val="none"/>
        </w:rPr>
        <w:t>二、合同组成</w:t>
      </w:r>
    </w:p>
    <w:p w14:paraId="6494D026">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一</w:t>
      </w:r>
      <w:r>
        <w:rPr>
          <w:rFonts w:hint="eastAsia" w:ascii="宋体" w:hAnsi="宋体" w:cs="宋体"/>
          <w:color w:val="auto"/>
          <w:sz w:val="24"/>
          <w:highlight w:val="none"/>
          <w:lang w:eastAsia="zh-CN"/>
        </w:rPr>
        <w:t>）</w:t>
      </w:r>
      <w:r>
        <w:rPr>
          <w:rFonts w:hint="eastAsia" w:ascii="宋体" w:hAnsi="宋体" w:cs="宋体"/>
          <w:color w:val="auto"/>
          <w:sz w:val="24"/>
          <w:highlight w:val="none"/>
        </w:rPr>
        <w:t>下述文件是构成本合同不可分割的部分:</w:t>
      </w:r>
    </w:p>
    <w:p w14:paraId="11C31CF0">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（1）本合同条款及其所有附件。</w:t>
      </w:r>
    </w:p>
    <w:p w14:paraId="7CF7D975">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（2）甲方的磋商文件及澄清文件。</w:t>
      </w:r>
    </w:p>
    <w:p w14:paraId="75D7BFF9">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（3）乙方的磋商响应文件及质疑解答文件。</w:t>
      </w:r>
    </w:p>
    <w:p w14:paraId="1F3844C6">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（4）成交通知书。</w:t>
      </w:r>
    </w:p>
    <w:p w14:paraId="11DC8645">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（5）法定代表人授权书。</w:t>
      </w:r>
    </w:p>
    <w:p w14:paraId="567A44E6">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（6）双方与合同有关的往来信函、传真经双方法定代表人或其授权代表签字并加盖单位公章确认后视为本合同的组成部分。</w:t>
      </w:r>
    </w:p>
    <w:p w14:paraId="0F9FE2F2">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rPr>
        <w:t>（7）经双方法定代表人或其授权代表签字并加盖单位公章确认的补充协议。</w:t>
      </w:r>
    </w:p>
    <w:p w14:paraId="09D5DDDA">
      <w:pPr>
        <w:keepNext w:val="0"/>
        <w:keepLines w:val="0"/>
        <w:pageBreakBefore w:val="0"/>
        <w:tabs>
          <w:tab w:val="left" w:pos="735"/>
        </w:tabs>
        <w:kinsoku/>
        <w:wordWrap/>
        <w:overflowPunct/>
        <w:topLinePunct w:val="0"/>
        <w:bidi w:val="0"/>
        <w:adjustRightInd w:val="0"/>
        <w:snapToGrid w:val="0"/>
        <w:spacing w:line="360" w:lineRule="auto"/>
        <w:ind w:firstLine="504" w:firstLineChars="210"/>
        <w:rPr>
          <w:rFonts w:ascii="宋体" w:hAnsi="宋体" w:cs="宋体"/>
          <w:color w:val="auto"/>
          <w:sz w:val="24"/>
          <w:highlight w:val="none"/>
        </w:r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二</w:t>
      </w:r>
      <w:r>
        <w:rPr>
          <w:rFonts w:hint="eastAsia" w:ascii="宋体" w:hAnsi="宋体" w:cs="宋体"/>
          <w:color w:val="auto"/>
          <w:sz w:val="24"/>
          <w:highlight w:val="none"/>
          <w:lang w:eastAsia="zh-CN"/>
        </w:rPr>
        <w:t>）</w:t>
      </w:r>
      <w:r>
        <w:rPr>
          <w:rFonts w:hint="eastAsia" w:ascii="宋体" w:hAnsi="宋体" w:cs="宋体"/>
          <w:color w:val="auto"/>
          <w:sz w:val="24"/>
          <w:highlight w:val="none"/>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如果合同附件之间有矛盾之处，以有利于甲方的附件内容为准。</w:t>
      </w:r>
    </w:p>
    <w:p w14:paraId="67EF3A32">
      <w:pPr>
        <w:keepNext w:val="0"/>
        <w:keepLines w:val="0"/>
        <w:pageBreakBefore w:val="0"/>
        <w:kinsoku/>
        <w:wordWrap/>
        <w:overflowPunct/>
        <w:topLinePunct w:val="0"/>
        <w:bidi w:val="0"/>
        <w:snapToGrid w:val="0"/>
        <w:spacing w:line="360" w:lineRule="auto"/>
        <w:textAlignment w:val="baseline"/>
        <w:rPr>
          <w:rFonts w:hint="eastAsia" w:ascii="宋体" w:hAnsi="宋体" w:cs="宋体"/>
          <w:color w:val="auto"/>
          <w:sz w:val="24"/>
          <w:highlight w:val="none"/>
        </w:r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三</w:t>
      </w:r>
      <w:r>
        <w:rPr>
          <w:rFonts w:hint="eastAsia" w:ascii="宋体" w:hAnsi="宋体" w:cs="宋体"/>
          <w:color w:val="auto"/>
          <w:sz w:val="24"/>
          <w:highlight w:val="none"/>
          <w:lang w:eastAsia="zh-CN"/>
        </w:rPr>
        <w:t>）</w:t>
      </w:r>
      <w:r>
        <w:rPr>
          <w:rFonts w:hint="eastAsia" w:ascii="宋体" w:hAnsi="宋体" w:cs="宋体"/>
          <w:color w:val="auto"/>
          <w:sz w:val="24"/>
          <w:highlight w:val="none"/>
        </w:rPr>
        <w:t>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08ECD381">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rPr>
      </w:pPr>
      <w:r>
        <w:rPr>
          <w:rFonts w:hint="eastAsia" w:ascii="宋体" w:hAnsi="宋体" w:cs="宋体"/>
          <w:b/>
          <w:bCs/>
          <w:color w:val="auto"/>
          <w:kern w:val="0"/>
          <w:sz w:val="24"/>
          <w:highlight w:val="none"/>
          <w:u w:color="000000"/>
          <w:lang w:val="en-US" w:eastAsia="zh-CN"/>
        </w:rPr>
        <w:t>三、</w:t>
      </w:r>
      <w:r>
        <w:rPr>
          <w:rFonts w:hint="eastAsia" w:ascii="宋体" w:hAnsi="宋体" w:cs="宋体"/>
          <w:b/>
          <w:bCs/>
          <w:color w:val="auto"/>
          <w:kern w:val="0"/>
          <w:sz w:val="24"/>
          <w:highlight w:val="none"/>
          <w:u w:color="000000"/>
          <w:lang w:eastAsia="zh-CN"/>
        </w:rPr>
        <w:t>服务期、</w:t>
      </w:r>
      <w:r>
        <w:rPr>
          <w:rFonts w:hint="eastAsia" w:ascii="宋体" w:hAnsi="宋体" w:cs="宋体"/>
          <w:b/>
          <w:bCs/>
          <w:color w:val="auto"/>
          <w:kern w:val="0"/>
          <w:sz w:val="24"/>
          <w:highlight w:val="none"/>
          <w:u w:color="000000"/>
        </w:rPr>
        <w:t>服务地点</w:t>
      </w:r>
      <w:r>
        <w:rPr>
          <w:rFonts w:hint="eastAsia" w:ascii="宋体" w:hAnsi="宋体" w:cs="宋体"/>
          <w:b/>
          <w:bCs/>
          <w:color w:val="auto"/>
          <w:kern w:val="0"/>
          <w:sz w:val="24"/>
          <w:highlight w:val="none"/>
          <w:u w:color="000000"/>
          <w:lang w:eastAsia="zh-CN"/>
        </w:rPr>
        <w:t>及质量要求</w:t>
      </w:r>
    </w:p>
    <w:p w14:paraId="09E0B0B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80" w:firstLineChars="200"/>
        <w:jc w:val="left"/>
        <w:textAlignment w:val="baseline"/>
        <w:outlineLvl w:val="9"/>
        <w:rPr>
          <w:rFonts w:hint="eastAsia" w:ascii="宋体" w:hAnsi="宋体" w:eastAsia="宋体" w:cs="宋体"/>
          <w:i w:val="0"/>
          <w:iCs w:val="0"/>
          <w:caps w:val="0"/>
          <w:color w:val="auto"/>
          <w:spacing w:val="0"/>
          <w:kern w:val="0"/>
          <w:sz w:val="24"/>
          <w:szCs w:val="24"/>
          <w:highlight w:val="none"/>
          <w:u w:val="none"/>
          <w:lang w:val="en-US" w:eastAsia="zh-CN" w:bidi="ar-SA"/>
        </w:rPr>
      </w:pPr>
      <w:r>
        <w:rPr>
          <w:rFonts w:hint="eastAsia" w:ascii="宋体" w:hAnsi="宋体" w:cs="宋体"/>
          <w:sz w:val="24"/>
          <w:szCs w:val="24"/>
          <w:highlight w:val="none"/>
          <w:lang w:val="en-US" w:eastAsia="zh-CN"/>
        </w:rPr>
        <w:t>（一）</w:t>
      </w:r>
      <w:r>
        <w:rPr>
          <w:rFonts w:hint="eastAsia" w:ascii="宋体" w:hAnsi="宋体" w:cs="宋体"/>
          <w:sz w:val="24"/>
          <w:szCs w:val="24"/>
          <w:highlight w:val="none"/>
        </w:rPr>
        <w:t>服务期：</w:t>
      </w:r>
      <w:r>
        <w:rPr>
          <w:rFonts w:hint="eastAsia" w:ascii="宋体" w:hAnsi="宋体" w:cs="宋体"/>
          <w:i w:val="0"/>
          <w:iCs w:val="0"/>
          <w:caps w:val="0"/>
          <w:color w:val="auto"/>
          <w:spacing w:val="0"/>
          <w:kern w:val="0"/>
          <w:sz w:val="24"/>
          <w:szCs w:val="24"/>
          <w:highlight w:val="none"/>
          <w:u w:val="none"/>
          <w:lang w:val="en-US" w:eastAsia="zh-CN" w:bidi="ar-SA"/>
        </w:rPr>
        <w:t>三</w:t>
      </w:r>
      <w:r>
        <w:rPr>
          <w:rFonts w:hint="eastAsia" w:ascii="宋体" w:hAnsi="宋体" w:eastAsia="宋体" w:cs="宋体"/>
          <w:i w:val="0"/>
          <w:iCs w:val="0"/>
          <w:caps w:val="0"/>
          <w:color w:val="auto"/>
          <w:spacing w:val="0"/>
          <w:kern w:val="0"/>
          <w:sz w:val="24"/>
          <w:szCs w:val="24"/>
          <w:highlight w:val="none"/>
          <w:u w:val="none"/>
          <w:lang w:val="en-US" w:eastAsia="zh-CN" w:bidi="ar-SA"/>
        </w:rPr>
        <w:t>年</w:t>
      </w:r>
      <w:r>
        <w:rPr>
          <w:rFonts w:hint="eastAsia" w:ascii="宋体" w:hAnsi="宋体" w:cs="宋体"/>
          <w:i w:val="0"/>
          <w:iCs w:val="0"/>
          <w:caps w:val="0"/>
          <w:color w:val="auto"/>
          <w:spacing w:val="0"/>
          <w:kern w:val="0"/>
          <w:sz w:val="24"/>
          <w:szCs w:val="24"/>
          <w:highlight w:val="none"/>
          <w:u w:val="none"/>
          <w:lang w:val="en-US" w:eastAsia="zh-CN" w:bidi="ar-SA"/>
        </w:rPr>
        <w:t>。</w:t>
      </w:r>
    </w:p>
    <w:p w14:paraId="05E173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lang w:val="en-US" w:eastAsia="zh-CN"/>
        </w:rPr>
        <w:t>（二）</w:t>
      </w:r>
      <w:r>
        <w:rPr>
          <w:rFonts w:hint="eastAsia" w:ascii="宋体" w:hAnsi="宋体" w:cs="宋体"/>
          <w:sz w:val="24"/>
          <w:szCs w:val="24"/>
          <w:highlight w:val="none"/>
        </w:rPr>
        <w:t>服务地点：采购人指定地点。</w:t>
      </w:r>
    </w:p>
    <w:p w14:paraId="24E253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color w:val="auto"/>
          <w:sz w:val="24"/>
          <w:highlight w:val="none"/>
          <w:lang w:val="en-US"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三）</w:t>
      </w:r>
      <w:r>
        <w:rPr>
          <w:rFonts w:hint="eastAsia" w:ascii="宋体" w:hAnsi="宋体" w:eastAsia="宋体" w:cs="宋体"/>
          <w:color w:val="auto"/>
          <w:sz w:val="24"/>
          <w:highlight w:val="none"/>
          <w:lang w:val="en-US" w:eastAsia="zh-CN"/>
        </w:rPr>
        <w:t>质量要求：</w:t>
      </w:r>
      <w:r>
        <w:rPr>
          <w:rFonts w:hint="eastAsia" w:ascii="宋体" w:hAnsi="宋体" w:cs="宋体"/>
          <w:color w:val="auto"/>
          <w:sz w:val="24"/>
          <w:highlight w:val="none"/>
          <w:lang w:val="en-US" w:eastAsia="zh-CN"/>
        </w:rPr>
        <w:t>符合国家及行业有关现行规范、标准的要求。</w:t>
      </w:r>
    </w:p>
    <w:p w14:paraId="39789598">
      <w:pPr>
        <w:keepNext w:val="0"/>
        <w:keepLines w:val="0"/>
        <w:pageBreakBefore w:val="0"/>
        <w:widowControl w:val="0"/>
        <w:kinsoku/>
        <w:wordWrap/>
        <w:overflowPunct/>
        <w:topLinePunct w:val="0"/>
        <w:autoSpaceDE/>
        <w:autoSpaceDN/>
        <w:bidi w:val="0"/>
        <w:adjustRightInd/>
        <w:snapToGrid/>
        <w:spacing w:line="360" w:lineRule="auto"/>
        <w:textAlignment w:val="baseline"/>
        <w:rPr>
          <w:rFonts w:ascii="宋体"/>
          <w:b/>
          <w:bCs/>
          <w:kern w:val="0"/>
          <w:sz w:val="24"/>
          <w:szCs w:val="24"/>
          <w:highlight w:val="none"/>
          <w:u w:val="none" w:color="000000"/>
        </w:rPr>
      </w:pPr>
      <w:r>
        <w:rPr>
          <w:rFonts w:hint="eastAsia" w:ascii="宋体" w:hAnsi="宋体" w:cs="宋体"/>
          <w:b/>
          <w:bCs/>
          <w:kern w:val="0"/>
          <w:sz w:val="24"/>
          <w:szCs w:val="24"/>
          <w:highlight w:val="none"/>
          <w:u w:val="none" w:color="000000"/>
          <w:lang w:val="en-US" w:eastAsia="zh-CN"/>
        </w:rPr>
        <w:t>四、</w:t>
      </w:r>
      <w:r>
        <w:rPr>
          <w:rFonts w:hint="eastAsia" w:ascii="宋体" w:hAnsi="宋体" w:cs="宋体"/>
          <w:b/>
          <w:bCs/>
          <w:kern w:val="0"/>
          <w:sz w:val="24"/>
          <w:szCs w:val="24"/>
          <w:highlight w:val="none"/>
          <w:u w:val="none" w:color="000000"/>
        </w:rPr>
        <w:t>合同价款</w:t>
      </w:r>
    </w:p>
    <w:p w14:paraId="5470D1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宋体" w:hAnsi="宋体" w:cs="宋体"/>
          <w:color w:val="auto"/>
          <w:kern w:val="0"/>
          <w:sz w:val="24"/>
          <w:highlight w:val="none"/>
          <w:u w:color="000000"/>
          <w:lang w:eastAsia="zh-CN"/>
        </w:rPr>
      </w:pPr>
      <w:r>
        <w:rPr>
          <w:rFonts w:hint="eastAsia" w:ascii="宋体" w:hAnsi="宋体" w:cs="宋体"/>
          <w:color w:val="auto"/>
          <w:kern w:val="0"/>
          <w:sz w:val="24"/>
          <w:highlight w:val="none"/>
          <w:u w:color="000000"/>
          <w:lang w:eastAsia="zh-CN"/>
        </w:rPr>
        <w:t>合同价款：</w:t>
      </w:r>
      <w:r>
        <w:rPr>
          <w:rFonts w:hint="eastAsia" w:ascii="宋体" w:hAnsi="宋体" w:cs="宋体"/>
          <w:color w:val="auto"/>
          <w:kern w:val="0"/>
          <w:sz w:val="24"/>
          <w:highlight w:val="none"/>
          <w:u w:color="000000"/>
        </w:rPr>
        <w:t>合同为固定</w:t>
      </w:r>
      <w:r>
        <w:rPr>
          <w:rFonts w:hint="eastAsia" w:ascii="宋体" w:hAnsi="宋体" w:cs="宋体"/>
          <w:color w:val="auto"/>
          <w:kern w:val="0"/>
          <w:sz w:val="24"/>
          <w:highlight w:val="none"/>
          <w:u w:color="000000"/>
          <w:lang w:val="en-US" w:eastAsia="zh-CN"/>
        </w:rPr>
        <w:t>单</w:t>
      </w:r>
      <w:r>
        <w:rPr>
          <w:rFonts w:hint="eastAsia" w:ascii="宋体" w:hAnsi="宋体" w:cs="宋体"/>
          <w:color w:val="auto"/>
          <w:kern w:val="0"/>
          <w:sz w:val="24"/>
          <w:highlight w:val="none"/>
          <w:u w:color="000000"/>
        </w:rPr>
        <w:t>价合同</w:t>
      </w:r>
      <w:r>
        <w:rPr>
          <w:rFonts w:hint="eastAsia" w:ascii="宋体" w:hAnsi="宋体" w:cs="宋体"/>
          <w:color w:val="auto"/>
          <w:kern w:val="0"/>
          <w:sz w:val="24"/>
          <w:highlight w:val="none"/>
          <w:u w:color="000000"/>
          <w:lang w:eastAsia="zh-CN"/>
        </w:rPr>
        <w:t>。</w:t>
      </w:r>
    </w:p>
    <w:p w14:paraId="05DBA040">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val="en-US" w:eastAsia="zh-CN"/>
        </w:rPr>
        <w:t>暂定</w:t>
      </w:r>
      <w:r>
        <w:rPr>
          <w:rFonts w:hint="eastAsia" w:ascii="宋体" w:hAnsi="宋体" w:eastAsia="宋体" w:cs="宋体"/>
          <w:color w:val="auto"/>
          <w:sz w:val="24"/>
          <w:szCs w:val="24"/>
          <w:highlight w:val="none"/>
        </w:rPr>
        <w:t>总</w:t>
      </w:r>
      <w:r>
        <w:rPr>
          <w:rFonts w:hint="eastAsia" w:ascii="宋体" w:hAnsi="宋体" w:eastAsia="宋体" w:cs="宋体"/>
          <w:color w:val="auto"/>
          <w:sz w:val="24"/>
          <w:szCs w:val="24"/>
          <w:highlight w:val="none"/>
          <w:lang w:val="en-US" w:eastAsia="zh-CN"/>
        </w:rPr>
        <w:t>价：</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，（小写）</w:t>
      </w:r>
      <w:r>
        <w:rPr>
          <w:rFonts w:hint="eastAsia" w:ascii="宋体" w:hAnsi="宋体" w:eastAsia="宋体" w:cs="宋体"/>
          <w:color w:val="auto"/>
          <w:sz w:val="24"/>
          <w:highlight w:val="none"/>
          <w:u w:val="single"/>
        </w:rPr>
        <w:t>￥</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元</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w:t>
      </w:r>
    </w:p>
    <w:p w14:paraId="2D9739A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服务内容价格明细表后附</w:t>
      </w:r>
      <w:r>
        <w:rPr>
          <w:rFonts w:hint="eastAsia" w:ascii="宋体" w:hAnsi="宋体" w:eastAsia="宋体" w:cs="宋体"/>
          <w:b/>
          <w:bCs/>
          <w:sz w:val="24"/>
          <w:szCs w:val="24"/>
          <w:highlight w:val="none"/>
          <w:lang w:val="en-US" w:eastAsia="zh-CN"/>
        </w:rPr>
        <w:t>。</w:t>
      </w:r>
    </w:p>
    <w:p w14:paraId="5B550752">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rPr>
      </w:pPr>
      <w:r>
        <w:rPr>
          <w:rFonts w:hint="eastAsia" w:ascii="宋体" w:hAnsi="宋体" w:cs="宋体"/>
          <w:b/>
          <w:bCs/>
          <w:kern w:val="0"/>
          <w:sz w:val="24"/>
          <w:szCs w:val="24"/>
          <w:highlight w:val="none"/>
          <w:u w:val="none" w:color="000000"/>
          <w:lang w:val="en-US" w:eastAsia="zh-CN"/>
        </w:rPr>
        <w:t>五</w:t>
      </w:r>
      <w:r>
        <w:rPr>
          <w:rFonts w:hint="eastAsia" w:ascii="宋体" w:hAnsi="宋体" w:cs="宋体"/>
          <w:b/>
          <w:bCs/>
          <w:kern w:val="0"/>
          <w:sz w:val="24"/>
          <w:szCs w:val="24"/>
          <w:highlight w:val="none"/>
          <w:u w:val="none" w:color="000000"/>
        </w:rPr>
        <w:t>、</w:t>
      </w:r>
      <w:r>
        <w:rPr>
          <w:rFonts w:hint="eastAsia" w:ascii="宋体" w:hAnsi="宋体" w:cs="宋体"/>
          <w:b/>
          <w:bCs/>
          <w:kern w:val="0"/>
          <w:sz w:val="24"/>
          <w:szCs w:val="24"/>
          <w:highlight w:val="none"/>
          <w:u w:val="none" w:color="000000"/>
          <w:lang w:val="en-US" w:eastAsia="zh-CN"/>
        </w:rPr>
        <w:t>合同</w:t>
      </w:r>
      <w:r>
        <w:rPr>
          <w:rFonts w:hint="eastAsia" w:ascii="宋体" w:hAnsi="宋体" w:cs="宋体"/>
          <w:b/>
          <w:bCs/>
          <w:kern w:val="0"/>
          <w:sz w:val="24"/>
          <w:szCs w:val="24"/>
          <w:highlight w:val="none"/>
          <w:u w:val="none" w:color="000000"/>
        </w:rPr>
        <w:t>结算</w:t>
      </w:r>
    </w:p>
    <w:p w14:paraId="541215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ascii="宋体"/>
          <w:kern w:val="0"/>
          <w:sz w:val="24"/>
          <w:szCs w:val="24"/>
          <w:highlight w:val="none"/>
          <w:u w:val="none" w:color="000000"/>
        </w:rPr>
      </w:pPr>
      <w:r>
        <w:rPr>
          <w:rFonts w:hint="eastAsia" w:ascii="宋体" w:hAnsi="宋体" w:cs="宋体"/>
          <w:kern w:val="0"/>
          <w:sz w:val="24"/>
          <w:szCs w:val="24"/>
          <w:highlight w:val="none"/>
          <w:u w:val="none" w:color="000000"/>
        </w:rPr>
        <w:t>（一）合同款的支付：以甲方最终签订的合同为准。</w:t>
      </w:r>
    </w:p>
    <w:p w14:paraId="38123B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ascii="宋体"/>
          <w:kern w:val="0"/>
          <w:sz w:val="24"/>
          <w:szCs w:val="24"/>
          <w:highlight w:val="none"/>
          <w:u w:val="none" w:color="000000"/>
        </w:rPr>
      </w:pPr>
      <w:r>
        <w:rPr>
          <w:rFonts w:hint="eastAsia" w:ascii="宋体" w:hAnsi="宋体" w:cs="宋体"/>
          <w:kern w:val="0"/>
          <w:sz w:val="24"/>
          <w:szCs w:val="24"/>
          <w:highlight w:val="none"/>
          <w:u w:val="none" w:color="000000"/>
        </w:rPr>
        <w:t>（二）支付方式：银行转账。</w:t>
      </w:r>
    </w:p>
    <w:p w14:paraId="75574408">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（三）款项支付：</w:t>
      </w:r>
    </w:p>
    <w:p w14:paraId="67D87CC6">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（1）合同签订后10个工作日内，按暂定合同总价支付30%作为预付款。</w:t>
      </w:r>
    </w:p>
    <w:p w14:paraId="1AD27841">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（2）第一个采暖季开始前10工作日内，支付全面大修及局部改造费用金额及第一年的维保费用（扣除预付款）。</w:t>
      </w:r>
    </w:p>
    <w:p w14:paraId="721A74AC">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（3）3个完整的制冷采暖维保周期结束后，10工作日内支付剩余全部维护保养费用。</w:t>
      </w:r>
    </w:p>
    <w:p w14:paraId="4EEDA145">
      <w:pPr>
        <w:keepNext w:val="0"/>
        <w:keepLines w:val="0"/>
        <w:pageBreakBefore w:val="0"/>
        <w:widowControl w:val="0"/>
        <w:kinsoku/>
        <w:wordWrap/>
        <w:overflowPunct/>
        <w:topLinePunct w:val="0"/>
        <w:autoSpaceDE w:val="0"/>
        <w:autoSpaceDN w:val="0"/>
        <w:bidi w:val="0"/>
        <w:snapToGrid/>
        <w:spacing w:line="360" w:lineRule="auto"/>
        <w:ind w:firstLine="484" w:firstLineChars="202"/>
        <w:jc w:val="left"/>
        <w:rPr>
          <w:rFonts w:hint="eastAsia" w:ascii="宋体" w:hAnsi="宋体" w:cs="宋体"/>
          <w:color w:val="000000"/>
          <w:kern w:val="44"/>
          <w:sz w:val="24"/>
          <w:szCs w:val="24"/>
          <w:highlight w:val="none"/>
          <w:lang w:val="en-US" w:eastAsia="en-US"/>
        </w:rPr>
      </w:pPr>
      <w:r>
        <w:rPr>
          <w:rFonts w:hint="eastAsia" w:ascii="宋体" w:hAnsi="宋体" w:cs="宋体"/>
          <w:color w:val="000000"/>
          <w:kern w:val="44"/>
          <w:sz w:val="24"/>
          <w:szCs w:val="24"/>
          <w:highlight w:val="none"/>
          <w:lang w:val="en-US" w:eastAsia="en-US"/>
        </w:rPr>
        <w:t>注：乙方应向甲方</w:t>
      </w:r>
      <w:r>
        <w:rPr>
          <w:rFonts w:hint="eastAsia" w:ascii="宋体" w:hAnsi="宋体" w:cs="宋体"/>
          <w:color w:val="000000"/>
          <w:kern w:val="44"/>
          <w:sz w:val="24"/>
          <w:szCs w:val="24"/>
          <w:highlight w:val="none"/>
          <w:lang w:val="en-US" w:eastAsia="zh-CN"/>
        </w:rPr>
        <w:t>出具符合国家财税规定的发票</w:t>
      </w:r>
      <w:r>
        <w:rPr>
          <w:rFonts w:hint="eastAsia" w:ascii="宋体" w:hAnsi="宋体" w:cs="宋体"/>
          <w:color w:val="000000"/>
          <w:kern w:val="44"/>
          <w:sz w:val="24"/>
          <w:szCs w:val="24"/>
          <w:highlight w:val="none"/>
          <w:lang w:val="en-US" w:eastAsia="en-US"/>
        </w:rPr>
        <w:t>，否则甲方有权延迟履行付款义务。如因乙方缘故（如开具发票延误等）导致甲方无法按时付款，甲方不承担违约责任。</w:t>
      </w:r>
    </w:p>
    <w:p w14:paraId="29C5312A">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（四）</w:t>
      </w:r>
      <w:r>
        <w:rPr>
          <w:rFonts w:hint="eastAsia" w:ascii="宋体" w:hAnsi="宋体" w:eastAsia="宋体" w:cs="宋体"/>
          <w:color w:val="auto"/>
          <w:sz w:val="24"/>
          <w:highlight w:val="none"/>
        </w:rPr>
        <w:t>乙方开户银行指定账户为：</w:t>
      </w:r>
    </w:p>
    <w:p w14:paraId="2D03CE8D">
      <w:pPr>
        <w:keepNext w:val="0"/>
        <w:keepLines w:val="0"/>
        <w:pageBreakBefore w:val="0"/>
        <w:widowControl/>
        <w:tabs>
          <w:tab w:val="left" w:pos="426"/>
        </w:tabs>
        <w:kinsoku/>
        <w:wordWrap/>
        <w:overflowPunct/>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14:paraId="09354788">
      <w:pPr>
        <w:keepNext w:val="0"/>
        <w:keepLines w:val="0"/>
        <w:pageBreakBefore w:val="0"/>
        <w:widowControl/>
        <w:tabs>
          <w:tab w:val="left" w:pos="426"/>
        </w:tabs>
        <w:kinsoku/>
        <w:wordWrap/>
        <w:overflowPunct/>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14:paraId="175D921D">
      <w:pPr>
        <w:keepNext w:val="0"/>
        <w:keepLines w:val="0"/>
        <w:pageBreakBefore w:val="0"/>
        <w:widowControl/>
        <w:tabs>
          <w:tab w:val="left" w:pos="426"/>
        </w:tabs>
        <w:kinsoku/>
        <w:wordWrap/>
        <w:overflowPunct/>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14:paraId="343329CD">
      <w:pPr>
        <w:keepNext w:val="0"/>
        <w:keepLines w:val="0"/>
        <w:pageBreakBefore w:val="0"/>
        <w:kinsoku/>
        <w:wordWrap/>
        <w:overflowPunct/>
        <w:topLinePunct w:val="0"/>
        <w:bidi w:val="0"/>
        <w:snapToGrid/>
        <w:spacing w:line="360" w:lineRule="auto"/>
        <w:textAlignment w:val="auto"/>
        <w:rPr>
          <w:rFonts w:hint="eastAsia" w:ascii="宋体" w:hAnsi="宋体" w:cs="宋体"/>
          <w:b/>
          <w:bCs/>
          <w:kern w:val="0"/>
          <w:sz w:val="24"/>
          <w:szCs w:val="24"/>
          <w:highlight w:val="none"/>
          <w:u w:val="none" w:color="000000"/>
          <w:lang w:val="en-US" w:eastAsia="zh-CN"/>
        </w:rPr>
      </w:pPr>
      <w:r>
        <w:rPr>
          <w:rFonts w:hint="eastAsia" w:ascii="宋体" w:hAnsi="宋体" w:eastAsia="宋体" w:cs="宋体"/>
          <w:b/>
          <w:color w:val="auto"/>
          <w:sz w:val="24"/>
          <w:highlight w:val="none"/>
          <w:lang w:val="en-US" w:eastAsia="zh-CN"/>
        </w:rPr>
        <w:t>六、</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3064DA2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lang w:val="en-US" w:eastAsia="zh-CN"/>
        </w:rPr>
        <w:t>、验收标准：</w:t>
      </w:r>
      <w:r>
        <w:rPr>
          <w:rFonts w:hint="eastAsia" w:ascii="宋体" w:hAnsi="宋体" w:cs="宋体"/>
          <w:color w:val="auto"/>
          <w:sz w:val="24"/>
          <w:highlight w:val="none"/>
          <w:lang w:eastAsia="zh-CN"/>
        </w:rPr>
        <w:t>符合国家及行业有关现行规范、标准的要求</w:t>
      </w:r>
      <w:r>
        <w:rPr>
          <w:rFonts w:hint="eastAsia" w:ascii="宋体" w:hAnsi="宋体" w:eastAsia="宋体" w:cs="宋体"/>
          <w:color w:val="auto"/>
          <w:sz w:val="24"/>
          <w:szCs w:val="24"/>
          <w:highlight w:val="none"/>
          <w:lang w:eastAsia="zh-CN"/>
        </w:rPr>
        <w:t>，满足</w:t>
      </w:r>
      <w:r>
        <w:rPr>
          <w:rFonts w:hint="eastAsia" w:ascii="宋体" w:hAnsi="宋体" w:cs="宋体"/>
          <w:color w:val="auto"/>
          <w:sz w:val="24"/>
          <w:szCs w:val="24"/>
          <w:highlight w:val="none"/>
          <w:lang w:val="en-US" w:eastAsia="zh-CN"/>
        </w:rPr>
        <w:t>采购人使用</w:t>
      </w:r>
      <w:r>
        <w:rPr>
          <w:rFonts w:hint="eastAsia" w:ascii="宋体" w:hAnsi="宋体" w:eastAsia="宋体" w:cs="宋体"/>
          <w:color w:val="auto"/>
          <w:sz w:val="24"/>
          <w:szCs w:val="24"/>
          <w:highlight w:val="none"/>
          <w:lang w:eastAsia="zh-CN"/>
        </w:rPr>
        <w:t>需求。</w:t>
      </w:r>
    </w:p>
    <w:p w14:paraId="00A9317E">
      <w:pPr>
        <w:pStyle w:val="6"/>
        <w:keepNext w:val="0"/>
        <w:keepLines w:val="0"/>
        <w:pageBreakBefore w:val="0"/>
        <w:widowControl/>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w:t>
      </w:r>
    </w:p>
    <w:p w14:paraId="3F574161">
      <w:pPr>
        <w:pStyle w:val="6"/>
        <w:keepNext w:val="0"/>
        <w:keepLines w:val="0"/>
        <w:pageBreakBefore w:val="0"/>
        <w:widowControl/>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1.《空调通风系统运行管理标准》GB 50365-2019</w:t>
      </w:r>
    </w:p>
    <w:p w14:paraId="5F3D9649">
      <w:pPr>
        <w:pStyle w:val="6"/>
        <w:keepNext w:val="0"/>
        <w:keepLines w:val="0"/>
        <w:pageBreakBefore w:val="0"/>
        <w:widowControl/>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2.《多联机空调系统工程技术规程》JGJ 174-2010</w:t>
      </w:r>
    </w:p>
    <w:p w14:paraId="41C31E98">
      <w:pPr>
        <w:pStyle w:val="6"/>
        <w:keepNext w:val="0"/>
        <w:keepLines w:val="0"/>
        <w:pageBreakBefore w:val="0"/>
        <w:widowControl/>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b/>
          <w:bCs/>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3.《多联式空调（热泵）机组维护保养规范》JB/T 12325-2015</w:t>
      </w:r>
    </w:p>
    <w:p w14:paraId="7D2F236B">
      <w:pPr>
        <w:keepNext w:val="0"/>
        <w:keepLines w:val="0"/>
        <w:pageBreakBefore w:val="0"/>
        <w:kinsoku/>
        <w:wordWrap/>
        <w:overflowPunct/>
        <w:topLinePunct w:val="0"/>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lang w:val="en-US" w:eastAsia="zh-CN"/>
        </w:rPr>
        <w:t>、售后服务要求</w:t>
      </w:r>
      <w:r>
        <w:rPr>
          <w:rFonts w:hint="eastAsia" w:ascii="宋体" w:hAnsi="宋体" w:eastAsia="宋体" w:cs="宋体"/>
          <w:color w:val="auto"/>
          <w:sz w:val="24"/>
          <w:szCs w:val="24"/>
          <w:highlight w:val="none"/>
          <w:lang w:val="en-US" w:eastAsia="zh-CN"/>
        </w:rPr>
        <w:t>：</w:t>
      </w:r>
    </w:p>
    <w:p w14:paraId="3279E6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响应时效：</w:t>
      </w:r>
    </w:p>
    <w:p w14:paraId="679CE3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接到业主通知后将于4个小时之内到达维修现场。</w:t>
      </w:r>
    </w:p>
    <w:p w14:paraId="4D19AB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对于故障处理时间，我们承诺在12个小时内进行处理完毕。对于重大设备故障，在48小时内进行处理完毕。</w:t>
      </w:r>
    </w:p>
    <w:p w14:paraId="6897B0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备件储备：需常备关键备件（如电子膨胀阀、风扇电机、压缩机、主板、高低压阀、线控器等），满足95%以上常见故障需求。。</w:t>
      </w:r>
    </w:p>
    <w:p w14:paraId="45957348">
      <w:pPr>
        <w:keepNext w:val="0"/>
        <w:keepLines w:val="0"/>
        <w:pageBreakBefore w:val="0"/>
        <w:kinsoku/>
        <w:wordWrap/>
        <w:overflowPunct/>
        <w:topLinePunct w:val="0"/>
        <w:bidi w:val="0"/>
        <w:spacing w:line="360" w:lineRule="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rPr>
        <w:t>、质量保证</w:t>
      </w:r>
    </w:p>
    <w:p w14:paraId="74AAA9D1">
      <w:pPr>
        <w:keepNext w:val="0"/>
        <w:keepLines w:val="0"/>
        <w:pageBreakBefore w:val="0"/>
        <w:kinsoku/>
        <w:wordWrap/>
        <w:overflowPunct/>
        <w:topLinePunct w:val="0"/>
        <w:bidi w:val="0"/>
        <w:spacing w:line="360" w:lineRule="auto"/>
        <w:ind w:firstLine="480" w:firstLineChars="200"/>
        <w:rPr>
          <w:rFonts w:hint="eastAsia" w:ascii="宋体" w:hAnsi="宋体" w:cs="宋体"/>
          <w:b/>
          <w:bCs/>
          <w:kern w:val="0"/>
          <w:sz w:val="24"/>
          <w:szCs w:val="24"/>
          <w:highlight w:val="none"/>
          <w:u w:val="none" w:color="000000"/>
          <w:lang w:val="en-US" w:eastAsia="zh-CN"/>
        </w:rPr>
      </w:pPr>
      <w:r>
        <w:rPr>
          <w:rFonts w:hint="eastAsia" w:ascii="宋体" w:hAnsi="宋体" w:eastAsia="宋体" w:cs="宋体"/>
          <w:color w:val="auto"/>
          <w:sz w:val="24"/>
          <w:szCs w:val="24"/>
          <w:highlight w:val="none"/>
          <w:lang w:eastAsia="zh-CN"/>
        </w:rPr>
        <w:t>符合国家有关行业规范和标准</w:t>
      </w:r>
      <w:r>
        <w:rPr>
          <w:rFonts w:hint="eastAsia" w:ascii="宋体" w:hAnsi="宋体" w:eastAsia="宋体" w:cs="宋体"/>
          <w:color w:val="auto"/>
          <w:sz w:val="24"/>
          <w:szCs w:val="24"/>
          <w:highlight w:val="none"/>
        </w:rPr>
        <w:t>。</w:t>
      </w:r>
    </w:p>
    <w:p w14:paraId="26463393">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rPr>
      </w:pPr>
      <w:r>
        <w:rPr>
          <w:rFonts w:hint="eastAsia" w:ascii="宋体" w:hAnsi="宋体" w:cs="宋体"/>
          <w:b/>
          <w:bCs/>
          <w:kern w:val="0"/>
          <w:sz w:val="24"/>
          <w:szCs w:val="24"/>
          <w:highlight w:val="none"/>
          <w:u w:val="none" w:color="000000"/>
          <w:lang w:val="en-US" w:eastAsia="zh-CN"/>
        </w:rPr>
        <w:t>十、</w:t>
      </w:r>
      <w:r>
        <w:rPr>
          <w:rFonts w:hint="eastAsia" w:ascii="宋体" w:hAnsi="宋体" w:cs="宋体"/>
          <w:b/>
          <w:bCs/>
          <w:kern w:val="0"/>
          <w:sz w:val="24"/>
          <w:szCs w:val="24"/>
          <w:highlight w:val="none"/>
          <w:u w:val="none" w:color="000000"/>
        </w:rPr>
        <w:t>双方的权利和义务</w:t>
      </w:r>
    </w:p>
    <w:p w14:paraId="52F19A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（一）甲方的权利和义务：</w:t>
      </w:r>
    </w:p>
    <w:p w14:paraId="5060A4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1.甲方负责监督和协调其下属单位严格执行本协议条款，并在项目实施过程中积极主动的紧密配合乙方工作，确保合作内容顺利实施，尽早为甲方提供优质服务。</w:t>
      </w:r>
    </w:p>
    <w:p w14:paraId="30019A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lang w:eastAsia="zh-CN"/>
        </w:rPr>
      </w:pPr>
      <w:r>
        <w:rPr>
          <w:rFonts w:hint="eastAsia" w:ascii="宋体" w:hAnsi="宋体" w:cs="宋体"/>
          <w:sz w:val="24"/>
          <w:szCs w:val="24"/>
          <w:highlight w:val="none"/>
          <w:lang w:eastAsia="zh-CN"/>
        </w:rPr>
        <w:t>2</w:t>
      </w:r>
      <w:r>
        <w:rPr>
          <w:rFonts w:hint="eastAsia" w:ascii="宋体" w:hAnsi="宋体" w:cs="宋体"/>
          <w:sz w:val="24"/>
          <w:szCs w:val="24"/>
          <w:highlight w:val="none"/>
          <w:lang w:val="en-US" w:eastAsia="zh-CN"/>
        </w:rPr>
        <w:t>.</w:t>
      </w:r>
      <w:r>
        <w:rPr>
          <w:rFonts w:hint="eastAsia" w:ascii="宋体" w:hAnsi="宋体" w:cs="宋体"/>
          <w:sz w:val="24"/>
          <w:szCs w:val="24"/>
          <w:highlight w:val="none"/>
          <w:lang w:eastAsia="zh-CN"/>
        </w:rPr>
        <w:t>负责检查监督乙方管理工作的实施及制度的执行情况。</w:t>
      </w:r>
    </w:p>
    <w:p w14:paraId="0496E6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lang w:eastAsia="zh-CN"/>
        </w:rPr>
      </w:pPr>
      <w:r>
        <w:rPr>
          <w:rFonts w:hint="eastAsia" w:ascii="宋体" w:hAnsi="宋体" w:cs="宋体"/>
          <w:sz w:val="24"/>
          <w:szCs w:val="24"/>
          <w:highlight w:val="none"/>
          <w:lang w:eastAsia="zh-CN"/>
        </w:rPr>
        <w:t>3</w:t>
      </w:r>
      <w:r>
        <w:rPr>
          <w:rFonts w:hint="eastAsia" w:ascii="宋体" w:hAnsi="宋体" w:cs="宋体"/>
          <w:sz w:val="24"/>
          <w:szCs w:val="24"/>
          <w:highlight w:val="none"/>
          <w:lang w:val="en-US" w:eastAsia="zh-CN"/>
        </w:rPr>
        <w:t>.</w:t>
      </w:r>
      <w:r>
        <w:rPr>
          <w:rFonts w:hint="eastAsia" w:ascii="宋体" w:hAnsi="宋体" w:cs="宋体"/>
          <w:sz w:val="24"/>
          <w:szCs w:val="24"/>
          <w:highlight w:val="none"/>
          <w:lang w:eastAsia="zh-CN"/>
        </w:rPr>
        <w:t>根据本合同规定，按照合同约定的时间和方式足额支付应付服务费用。</w:t>
      </w:r>
    </w:p>
    <w:p w14:paraId="25E422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lang w:eastAsia="zh-CN"/>
        </w:rPr>
      </w:pPr>
      <w:r>
        <w:rPr>
          <w:rFonts w:hint="eastAsia" w:ascii="宋体" w:hAnsi="宋体" w:cs="宋体"/>
          <w:sz w:val="24"/>
          <w:szCs w:val="24"/>
          <w:highlight w:val="none"/>
          <w:lang w:eastAsia="zh-CN"/>
        </w:rPr>
        <w:t>4</w:t>
      </w:r>
      <w:r>
        <w:rPr>
          <w:rFonts w:hint="eastAsia" w:ascii="宋体" w:hAnsi="宋体" w:cs="宋体"/>
          <w:sz w:val="24"/>
          <w:szCs w:val="24"/>
          <w:highlight w:val="none"/>
          <w:lang w:val="en-US" w:eastAsia="zh-CN"/>
        </w:rPr>
        <w:t>.</w:t>
      </w:r>
      <w:r>
        <w:rPr>
          <w:rFonts w:hint="eastAsia" w:ascii="宋体" w:hAnsi="宋体" w:cs="宋体"/>
          <w:sz w:val="24"/>
          <w:szCs w:val="24"/>
          <w:highlight w:val="none"/>
          <w:lang w:eastAsia="zh-CN"/>
        </w:rPr>
        <w:t>国家法律、法规所规定由甲方承担的其它责任。</w:t>
      </w:r>
    </w:p>
    <w:p w14:paraId="497A7E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（二）乙方的权利和义务：</w:t>
      </w:r>
    </w:p>
    <w:p w14:paraId="3EA61A05">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1.对本合同规定的委托服务范围内的项目享有管理权及服务义务。</w:t>
      </w:r>
    </w:p>
    <w:p w14:paraId="4598973A">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乙方应对甲方所有服务环境、设施进行摸底调研，并根据实际调研需要备足备品备件，确因备品备件不足导致无法对存在问题进行维修更换的，乙方应第一时间采取其他应急处理措施以保证机房内各设备正常运转。</w:t>
      </w:r>
    </w:p>
    <w:p w14:paraId="5B0DBD3F">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3.及时向甲方通告本项目服务范围内有关服务的重大事项，及时配合处理投诉。</w:t>
      </w:r>
    </w:p>
    <w:p w14:paraId="175C643D">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4.接受项目行业管理部门及政府有关部门的指导，接受甲方的监督。</w:t>
      </w:r>
    </w:p>
    <w:p w14:paraId="43C910A3">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5.对服务质量负责和对甲方项目质量的负责的义务。</w:t>
      </w:r>
    </w:p>
    <w:p w14:paraId="29D6EA3C">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6.国家法律、法规所规定由乙方承担的其它责任。</w:t>
      </w:r>
    </w:p>
    <w:p w14:paraId="70469ADE">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sz w:val="24"/>
          <w:szCs w:val="24"/>
          <w:highlight w:val="none"/>
          <w:lang w:val="en-US" w:eastAsia="zh-CN"/>
        </w:rPr>
        <w:t>7.</w:t>
      </w:r>
      <w:r>
        <w:rPr>
          <w:rFonts w:hint="eastAsia" w:ascii="宋体" w:hAnsi="宋体" w:eastAsia="宋体" w:cs="宋体"/>
          <w:color w:val="auto"/>
          <w:sz w:val="24"/>
          <w:szCs w:val="24"/>
          <w:highlight w:val="none"/>
        </w:rPr>
        <w:t>乙方必须设置维修保养、安装、调试现场安全管理人员及专职安全员，杜绝违规安装。</w:t>
      </w:r>
    </w:p>
    <w:p w14:paraId="18A4AE3B">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乙方必须对维修保养、安装、调试地域环境卫生、人员安全、生产安全、防火安全负全责。维修保养、安装、调试现场的各种活动须服从甲方相关部门的管理、监督，同时做好与其它人员的交叉作业及配合工作。</w:t>
      </w:r>
    </w:p>
    <w:p w14:paraId="3C50D012">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必须加强对维修保养、安装、调试现场的安全监督、管理，对进入现场的易燃材料生产工具应指定专人管理，必要时派人驻守。对当日产生的易燃废料需当日清理出安装、调试现场，堆放到甲方指定区域，当日应及时清理，消除安全隐患。</w:t>
      </w:r>
    </w:p>
    <w:p w14:paraId="522156C7">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供货、维修保养、安装、调试人员要安全文明服务，不准赤脚或穿高跟鞋、拖鞋和裙子进入供货场地；维修保养、安装场地禁止吸烟；高空作业时必须系安全带，佩戴安全帽，不得穿硬底鞋及带钉易打滑的鞋；不准违章指挥，违章作业及冒险作业；不准从高处往下抛投物料；不准酒后上岗。</w:t>
      </w:r>
    </w:p>
    <w:p w14:paraId="701D1CB0">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乙方供货、维修保养、安装、调试人员要严防火灾，不准在禁止烟火的地方动用明火；要文明维修保养，不得在安装、调试现场戏耍和打架斗殴；要注意用电安全，电器开关要设箱加锁，不准乱拉乱接电线。</w:t>
      </w:r>
    </w:p>
    <w:p w14:paraId="630AD45C">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由于乙方在供货、维修保养、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w:t>
      </w:r>
    </w:p>
    <w:p w14:paraId="40BE1147">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乙方材料需在甲方指定地点有序堆放，垃圾或货物外包装应24小时内清理外运，严禁随意乱堆乱放，影响院内大环境及道路畅通。</w:t>
      </w:r>
    </w:p>
    <w:p w14:paraId="6BAB7962">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书面解除通知送达乙方之日解除，乙方除应赔偿由此给甲方造成的全部损失外，还应按照合同总价的30%向甲方支付违约金。</w:t>
      </w:r>
    </w:p>
    <w:p w14:paraId="3B528444">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负责员工的工资和五险一金，若发生劳动争议均由供应商自己解决，医院无任何连带关系和责任；乙方所雇用的人员基本工资不能低于西安市规定的最低工资标准，乙方必须承诺不能发生拖欠员工工资的问题，一经发现，医院有权解除合同。</w:t>
      </w:r>
    </w:p>
    <w:p w14:paraId="202C5962">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lang w:eastAsia="zh-CN"/>
        </w:rPr>
      </w:pPr>
      <w:r>
        <w:rPr>
          <w:rFonts w:hint="eastAsia" w:ascii="宋体" w:hAnsi="宋体" w:cs="宋体"/>
          <w:b/>
          <w:bCs/>
          <w:kern w:val="0"/>
          <w:sz w:val="24"/>
          <w:szCs w:val="24"/>
          <w:highlight w:val="none"/>
          <w:u w:val="none" w:color="000000"/>
          <w:lang w:val="en-US" w:eastAsia="zh-CN"/>
        </w:rPr>
        <w:t>十一</w:t>
      </w:r>
      <w:r>
        <w:rPr>
          <w:rFonts w:hint="eastAsia" w:ascii="宋体" w:hAnsi="宋体" w:cs="宋体"/>
          <w:b/>
          <w:bCs/>
          <w:kern w:val="0"/>
          <w:sz w:val="24"/>
          <w:szCs w:val="24"/>
          <w:highlight w:val="none"/>
          <w:u w:val="none" w:color="000000"/>
          <w:lang w:eastAsia="zh-CN"/>
        </w:rPr>
        <w:t>、其它事项</w:t>
      </w:r>
    </w:p>
    <w:p w14:paraId="3D73B3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（一）乙方不得转让、分包给其它单位或个人。</w:t>
      </w:r>
    </w:p>
    <w:p w14:paraId="5C91DD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（二）乙方的响应文件和承诺等内容将列入合同。</w:t>
      </w:r>
    </w:p>
    <w:p w14:paraId="2991C9FE">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lang w:eastAsia="zh-CN"/>
        </w:rPr>
      </w:pPr>
      <w:r>
        <w:rPr>
          <w:rFonts w:hint="eastAsia" w:ascii="宋体" w:hAnsi="宋体" w:cs="宋体"/>
          <w:b/>
          <w:bCs/>
          <w:kern w:val="0"/>
          <w:sz w:val="24"/>
          <w:szCs w:val="24"/>
          <w:highlight w:val="none"/>
          <w:u w:val="none" w:color="000000"/>
          <w:lang w:val="en-US" w:eastAsia="zh-CN"/>
        </w:rPr>
        <w:t>十二</w:t>
      </w:r>
      <w:r>
        <w:rPr>
          <w:rFonts w:hint="eastAsia" w:ascii="宋体" w:hAnsi="宋体" w:cs="宋体"/>
          <w:b/>
          <w:bCs/>
          <w:kern w:val="0"/>
          <w:sz w:val="24"/>
          <w:szCs w:val="24"/>
          <w:highlight w:val="none"/>
          <w:u w:val="none" w:color="000000"/>
          <w:lang w:eastAsia="zh-CN"/>
        </w:rPr>
        <w:t>、合同的解除</w:t>
      </w:r>
    </w:p>
    <w:p w14:paraId="5E0263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如出现以下情形之一的，甲方有权单方解除合同，并要求乙方承担违约责任：</w:t>
      </w:r>
    </w:p>
    <w:p w14:paraId="3E8C82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lang w:val="en-US" w:eastAsia="zh-CN"/>
        </w:rPr>
        <w:t>(一)</w:t>
      </w:r>
      <w:r>
        <w:rPr>
          <w:rFonts w:hint="eastAsia" w:ascii="宋体" w:hAnsi="宋体" w:cs="宋体"/>
          <w:sz w:val="24"/>
          <w:szCs w:val="24"/>
          <w:highlight w:val="none"/>
        </w:rPr>
        <w:t>乙方或</w:t>
      </w:r>
      <w:r>
        <w:rPr>
          <w:rFonts w:hint="eastAsia" w:ascii="宋体" w:hAnsi="宋体" w:cs="宋体"/>
          <w:sz w:val="24"/>
          <w:szCs w:val="24"/>
          <w:highlight w:val="none"/>
          <w:lang w:val="en-GB"/>
        </w:rPr>
        <w:t>安保</w:t>
      </w:r>
      <w:r>
        <w:rPr>
          <w:rFonts w:hint="eastAsia" w:ascii="宋体" w:hAnsi="宋体" w:cs="宋体"/>
          <w:sz w:val="24"/>
          <w:szCs w:val="24"/>
          <w:highlight w:val="none"/>
        </w:rPr>
        <w:t>人员造成甲方人员或第三人人身伤害或其他安全事故的；</w:t>
      </w:r>
    </w:p>
    <w:p w14:paraId="060C56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lang w:val="en-US" w:eastAsia="zh-CN"/>
        </w:rPr>
        <w:t>(二)</w:t>
      </w:r>
      <w:r>
        <w:rPr>
          <w:rFonts w:hint="eastAsia" w:ascii="宋体" w:hAnsi="宋体" w:cs="宋体"/>
          <w:sz w:val="24"/>
          <w:szCs w:val="24"/>
          <w:highlight w:val="none"/>
        </w:rPr>
        <w:t>乙方违反约定，或不能完成甲方指定的工作任务，经甲方指出后五个工作日内仍未改正的。</w:t>
      </w:r>
    </w:p>
    <w:p w14:paraId="6D8E63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lang w:val="en-US" w:eastAsia="zh-CN"/>
        </w:rPr>
        <w:t>(三)</w:t>
      </w:r>
      <w:r>
        <w:rPr>
          <w:rFonts w:hint="eastAsia" w:ascii="宋体" w:hAnsi="宋体" w:cs="宋体"/>
          <w:sz w:val="24"/>
          <w:szCs w:val="24"/>
          <w:highlight w:val="none"/>
        </w:rPr>
        <w:t>本合同约定属于乙方的义务，但乙方未按合同履行的其他情形。</w:t>
      </w:r>
    </w:p>
    <w:p w14:paraId="1726A02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b/>
          <w:bCs/>
          <w:kern w:val="0"/>
          <w:sz w:val="24"/>
          <w:szCs w:val="24"/>
          <w:highlight w:val="none"/>
          <w:u w:val="none" w:color="000000"/>
          <w:lang w:val="en-US" w:eastAsia="zh-CN"/>
        </w:rPr>
      </w:pPr>
      <w:r>
        <w:rPr>
          <w:rFonts w:hint="eastAsia" w:ascii="宋体" w:hAnsi="宋体" w:cs="宋体"/>
          <w:b w:val="0"/>
          <w:bCs w:val="0"/>
          <w:sz w:val="24"/>
          <w:highlight w:val="none"/>
        </w:rPr>
        <w:t>合同继续履行将损害国家利益和社会公共利益的，双方当事人应当中止或者终止合同。有过错的一方应当承担赔偿责任，双方当事人都有过错的，各自承担相应的责任。</w:t>
      </w:r>
    </w:p>
    <w:p w14:paraId="30A6C8A0">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lang w:eastAsia="zh-CN"/>
        </w:rPr>
      </w:pPr>
      <w:r>
        <w:rPr>
          <w:rFonts w:hint="eastAsia" w:ascii="宋体" w:hAnsi="宋体" w:cs="宋体"/>
          <w:b/>
          <w:bCs/>
          <w:kern w:val="0"/>
          <w:sz w:val="24"/>
          <w:szCs w:val="24"/>
          <w:highlight w:val="none"/>
          <w:u w:val="none" w:color="000000"/>
          <w:lang w:val="en-US" w:eastAsia="zh-CN"/>
        </w:rPr>
        <w:t>十三</w:t>
      </w:r>
      <w:r>
        <w:rPr>
          <w:rFonts w:hint="eastAsia" w:ascii="宋体" w:hAnsi="宋体" w:cs="宋体"/>
          <w:b/>
          <w:bCs/>
          <w:kern w:val="0"/>
          <w:sz w:val="24"/>
          <w:szCs w:val="24"/>
          <w:highlight w:val="none"/>
          <w:u w:val="none" w:color="000000"/>
          <w:lang w:eastAsia="zh-CN"/>
        </w:rPr>
        <w:t>、违约责任</w:t>
      </w:r>
    </w:p>
    <w:p w14:paraId="4B953BC8">
      <w:pPr>
        <w:pStyle w:val="5"/>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（一）</w:t>
      </w:r>
      <w:r>
        <w:rPr>
          <w:rFonts w:hint="eastAsia" w:ascii="宋体" w:hAnsi="宋体" w:eastAsia="宋体" w:cs="宋体"/>
          <w:sz w:val="24"/>
          <w:highlight w:val="none"/>
          <w:lang w:val="en-US" w:eastAsia="zh-CN"/>
        </w:rPr>
        <w:t>乙方未按合同约定期限完成服务的，则自违约之日起每日应按照合同总金额的</w:t>
      </w:r>
      <w:r>
        <w:rPr>
          <w:rFonts w:hint="eastAsia" w:ascii="宋体" w:hAnsi="宋体" w:eastAsia="宋体" w:cs="宋体"/>
          <w:sz w:val="24"/>
          <w:highlight w:val="none"/>
          <w:u w:val="single"/>
          <w:lang w:val="en-US" w:eastAsia="zh-CN"/>
        </w:rPr>
        <w:t>5％</w:t>
      </w:r>
      <w:r>
        <w:rPr>
          <w:rFonts w:hint="eastAsia" w:ascii="宋体" w:hAnsi="宋体" w:eastAsia="宋体" w:cs="宋体"/>
          <w:sz w:val="24"/>
          <w:highlight w:val="none"/>
          <w:lang w:val="en-US" w:eastAsia="zh-CN"/>
        </w:rPr>
        <w:t>向甲方支付违约金。</w:t>
      </w:r>
    </w:p>
    <w:p w14:paraId="4A6E4051">
      <w:pPr>
        <w:pStyle w:val="5"/>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（二）</w:t>
      </w:r>
      <w:r>
        <w:rPr>
          <w:rFonts w:hint="eastAsia" w:ascii="宋体" w:hAnsi="宋体" w:eastAsia="宋体" w:cs="宋体"/>
          <w:sz w:val="24"/>
          <w:highlight w:val="none"/>
          <w:lang w:val="en-US" w:eastAsia="zh-CN"/>
        </w:rPr>
        <w:t>若乙方未按售后服务承诺及时提供售后服务或提供服务质量不符合承诺要求等违约的，每次违约，乙方应按照合同总金额的</w:t>
      </w:r>
      <w:r>
        <w:rPr>
          <w:rFonts w:hint="eastAsia" w:ascii="宋体" w:hAnsi="宋体" w:eastAsia="宋体" w:cs="宋体"/>
          <w:sz w:val="24"/>
          <w:highlight w:val="none"/>
          <w:u w:val="single"/>
          <w:lang w:val="en-US" w:eastAsia="zh-CN"/>
        </w:rPr>
        <w:t>1％</w:t>
      </w:r>
      <w:r>
        <w:rPr>
          <w:rFonts w:hint="eastAsia" w:ascii="宋体" w:hAnsi="宋体" w:eastAsia="宋体" w:cs="宋体"/>
          <w:sz w:val="24"/>
          <w:highlight w:val="none"/>
          <w:lang w:val="en-US" w:eastAsia="zh-CN"/>
        </w:rPr>
        <w:t>向甲方支付违约金。同时，甲方有权自行聘请第三方提供相应服务，所发生的费用由乙方承担或由甲方直接从质保金中扣除（如约定质保金时），不足部分，甲方有权向乙方追偿。</w:t>
      </w:r>
    </w:p>
    <w:p w14:paraId="04886C3C">
      <w:pPr>
        <w:pStyle w:val="5"/>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（三）</w:t>
      </w:r>
      <w:r>
        <w:rPr>
          <w:rFonts w:hint="eastAsia" w:ascii="宋体" w:hAnsi="宋体" w:eastAsia="宋体" w:cs="宋体"/>
          <w:sz w:val="24"/>
          <w:highlight w:val="none"/>
          <w:lang w:val="en-US" w:eastAsia="zh-CN"/>
        </w:rPr>
        <w:t>在乙方履行合同义务的整个过程中，造成甲方、乙方或第三方人身或财产损失的，由乙方承担全部责任。</w:t>
      </w:r>
    </w:p>
    <w:p w14:paraId="32462932">
      <w:pPr>
        <w:pStyle w:val="5"/>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（四）</w:t>
      </w:r>
      <w:r>
        <w:rPr>
          <w:rFonts w:hint="eastAsia" w:ascii="宋体" w:hAnsi="宋体" w:eastAsia="宋体" w:cs="宋体"/>
          <w:sz w:val="24"/>
          <w:highlight w:val="none"/>
          <w:lang w:val="en-US" w:eastAsia="zh-CN"/>
        </w:rPr>
        <w:t>双方同意，在不可抗力的影响下，受阻方可暂时停止执行本合同的受阻部分。当不可抗力事件持续的时间超过30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14:paraId="2E25B0A0">
      <w:pPr>
        <w:pStyle w:val="5"/>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（五）</w:t>
      </w:r>
      <w:r>
        <w:rPr>
          <w:rFonts w:hint="eastAsia" w:ascii="宋体" w:hAnsi="宋体" w:eastAsia="宋体" w:cs="宋体"/>
          <w:sz w:val="24"/>
          <w:highlight w:val="none"/>
          <w:lang w:val="en-US" w:eastAsia="zh-CN"/>
        </w:rPr>
        <w:t>如发生违约事件，守约方要求违约方支付违约金时，以书面方式通知违约方，内容包括违约事件、违约金、支付时间和方式等；违约方在收到上述通知后，</w:t>
      </w:r>
      <w:r>
        <w:rPr>
          <w:rFonts w:hint="eastAsia" w:ascii="宋体" w:hAnsi="宋体" w:cs="宋体"/>
          <w:sz w:val="24"/>
          <w:highlight w:val="none"/>
        </w:rPr>
        <w:t>应于</w:t>
      </w:r>
      <w:r>
        <w:rPr>
          <w:rFonts w:hint="eastAsia" w:ascii="宋体" w:hAnsi="宋体" w:cs="宋体"/>
          <w:sz w:val="24"/>
          <w:highlight w:val="none"/>
          <w:u w:val="single"/>
        </w:rPr>
        <w:t>30</w:t>
      </w:r>
      <w:r>
        <w:rPr>
          <w:rFonts w:hint="eastAsia" w:ascii="宋体" w:hAnsi="宋体" w:cs="宋体"/>
          <w:sz w:val="24"/>
          <w:highlight w:val="none"/>
        </w:rPr>
        <w:t>个工作日</w:t>
      </w:r>
      <w:r>
        <w:rPr>
          <w:rFonts w:hint="eastAsia" w:ascii="宋体" w:hAnsi="宋体" w:eastAsia="宋体" w:cs="宋体"/>
          <w:sz w:val="24"/>
          <w:highlight w:val="none"/>
          <w:lang w:val="en-US" w:eastAsia="zh-CN"/>
        </w:rPr>
        <w:t>内答复对方，并支付违约金。</w:t>
      </w:r>
    </w:p>
    <w:p w14:paraId="7E70B588">
      <w:pPr>
        <w:pStyle w:val="5"/>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（六）</w:t>
      </w:r>
      <w:r>
        <w:rPr>
          <w:rFonts w:hint="eastAsia" w:ascii="宋体" w:hAnsi="宋体" w:eastAsia="宋体" w:cs="宋体"/>
          <w:sz w:val="24"/>
          <w:highlight w:val="none"/>
          <w:lang w:val="en-US" w:eastAsia="zh-CN"/>
        </w:rPr>
        <w:t>如有未尽事宜，按《中华人民共和国民法典》中的相关条款执行。</w:t>
      </w:r>
    </w:p>
    <w:p w14:paraId="0E8CBB3A">
      <w:pPr>
        <w:pStyle w:val="5"/>
        <w:keepNext w:val="0"/>
        <w:keepLines w:val="0"/>
        <w:pageBreakBefore w:val="0"/>
        <w:kinsoku/>
        <w:wordWrap/>
        <w:overflowPunct/>
        <w:topLinePunct w:val="0"/>
        <w:bidi w:val="0"/>
        <w:snapToGrid/>
        <w:spacing w:line="360" w:lineRule="auto"/>
        <w:ind w:left="0" w:leftChars="0" w:firstLine="0" w:firstLineChars="0"/>
        <w:textAlignment w:val="auto"/>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十</w:t>
      </w:r>
      <w:r>
        <w:rPr>
          <w:rFonts w:hint="eastAsia" w:ascii="宋体" w:hAnsi="宋体" w:cs="宋体"/>
          <w:b/>
          <w:bCs/>
          <w:sz w:val="24"/>
          <w:highlight w:val="none"/>
          <w:lang w:val="en-US" w:eastAsia="zh-CN"/>
        </w:rPr>
        <w:t>四</w:t>
      </w:r>
      <w:r>
        <w:rPr>
          <w:rFonts w:hint="eastAsia" w:ascii="宋体" w:hAnsi="宋体" w:eastAsia="宋体" w:cs="宋体"/>
          <w:b/>
          <w:bCs/>
          <w:sz w:val="24"/>
          <w:highlight w:val="none"/>
        </w:rPr>
        <w:t>、不可抗力</w:t>
      </w:r>
    </w:p>
    <w:p w14:paraId="044E6E6C">
      <w:pPr>
        <w:pStyle w:val="5"/>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bCs/>
          <w:sz w:val="24"/>
          <w:highlight w:val="none"/>
        </w:rPr>
      </w:pPr>
      <w:r>
        <w:rPr>
          <w:rFonts w:hint="eastAsia" w:ascii="宋体" w:hAnsi="宋体" w:cs="宋体"/>
          <w:sz w:val="24"/>
          <w:highlight w:val="none"/>
          <w:lang w:eastAsia="zh-CN"/>
        </w:rPr>
        <w:t>（</w:t>
      </w:r>
      <w:r>
        <w:rPr>
          <w:rFonts w:hint="eastAsia" w:ascii="宋体" w:hAnsi="宋体" w:cs="宋体"/>
          <w:sz w:val="24"/>
          <w:highlight w:val="none"/>
          <w:lang w:val="en-US" w:eastAsia="zh-CN"/>
        </w:rPr>
        <w:t>一</w:t>
      </w:r>
      <w:r>
        <w:rPr>
          <w:rFonts w:hint="eastAsia" w:ascii="宋体" w:hAnsi="宋体" w:cs="宋体"/>
          <w:sz w:val="24"/>
          <w:highlight w:val="none"/>
          <w:lang w:eastAsia="zh-CN"/>
        </w:rPr>
        <w:t>）</w:t>
      </w:r>
      <w:r>
        <w:rPr>
          <w:rFonts w:hint="eastAsia" w:ascii="宋体" w:hAnsi="宋体" w:eastAsia="宋体" w:cs="宋体"/>
          <w:sz w:val="24"/>
          <w:highlight w:val="none"/>
        </w:rPr>
        <w:t>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2CA40005">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cs="宋体"/>
          <w:sz w:val="24"/>
          <w:highlight w:val="none"/>
          <w:lang w:eastAsia="zh-CN"/>
        </w:rPr>
        <w:t>（</w:t>
      </w:r>
      <w:r>
        <w:rPr>
          <w:rFonts w:hint="eastAsia" w:ascii="宋体" w:hAnsi="宋体" w:cs="宋体"/>
          <w:sz w:val="24"/>
          <w:highlight w:val="none"/>
          <w:lang w:val="en-US" w:eastAsia="zh-CN"/>
        </w:rPr>
        <w:t>二</w:t>
      </w:r>
      <w:r>
        <w:rPr>
          <w:rFonts w:hint="eastAsia" w:ascii="宋体" w:hAnsi="宋体" w:cs="宋体"/>
          <w:sz w:val="24"/>
          <w:highlight w:val="none"/>
          <w:lang w:eastAsia="zh-CN"/>
        </w:rPr>
        <w:t>）</w:t>
      </w:r>
      <w:r>
        <w:rPr>
          <w:rFonts w:hint="eastAsia" w:ascii="宋体" w:hAnsi="宋体" w:eastAsia="宋体" w:cs="宋体"/>
          <w:sz w:val="24"/>
          <w:highlight w:val="none"/>
        </w:rPr>
        <w:t>遭受不可抗力一方应在不可抗力事故发生后尽快以书面形式通知另一方；并在事故发生后</w:t>
      </w:r>
      <w:r>
        <w:rPr>
          <w:rFonts w:hint="eastAsia" w:ascii="宋体" w:hAnsi="宋体" w:eastAsia="宋体" w:cs="宋体"/>
          <w:sz w:val="24"/>
          <w:highlight w:val="none"/>
          <w:u w:val="single"/>
        </w:rPr>
        <w:t>十（10）</w:t>
      </w:r>
      <w:r>
        <w:rPr>
          <w:rFonts w:hint="eastAsia" w:ascii="宋体" w:hAnsi="宋体" w:eastAsia="宋体" w:cs="宋体"/>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highlight w:val="none"/>
          <w:u w:val="single"/>
        </w:rPr>
        <w:t>二十（20）</w:t>
      </w:r>
      <w:r>
        <w:rPr>
          <w:rFonts w:hint="eastAsia" w:ascii="宋体" w:hAnsi="宋体" w:eastAsia="宋体" w:cs="宋体"/>
          <w:sz w:val="24"/>
          <w:highlight w:val="none"/>
        </w:rPr>
        <w:t>个日历日以上，双方应通过友好协商在合理的时间内达成进一步履行合同或终止合同的协议。</w:t>
      </w:r>
    </w:p>
    <w:p w14:paraId="50EE35C1">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lang w:eastAsia="zh-CN"/>
        </w:rPr>
      </w:pPr>
      <w:r>
        <w:rPr>
          <w:rFonts w:hint="eastAsia" w:ascii="宋体" w:hAnsi="宋体" w:cs="宋体"/>
          <w:b/>
          <w:bCs/>
          <w:kern w:val="0"/>
          <w:sz w:val="24"/>
          <w:szCs w:val="24"/>
          <w:highlight w:val="none"/>
          <w:u w:val="none" w:color="000000"/>
          <w:lang w:val="en-US" w:eastAsia="zh-CN"/>
        </w:rPr>
        <w:t>十五</w:t>
      </w:r>
      <w:r>
        <w:rPr>
          <w:rFonts w:hint="eastAsia" w:ascii="宋体" w:hAnsi="宋体" w:cs="宋体"/>
          <w:b/>
          <w:bCs/>
          <w:kern w:val="0"/>
          <w:sz w:val="24"/>
          <w:szCs w:val="24"/>
          <w:highlight w:val="none"/>
          <w:u w:val="none" w:color="000000"/>
          <w:lang w:eastAsia="zh-CN"/>
        </w:rPr>
        <w:t>、保密</w:t>
      </w:r>
    </w:p>
    <w:p w14:paraId="47424331">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cs="宋体"/>
          <w:sz w:val="24"/>
          <w:highlight w:val="none"/>
          <w:lang w:eastAsia="zh-CN"/>
        </w:rPr>
        <w:t>（</w:t>
      </w:r>
      <w:r>
        <w:rPr>
          <w:rFonts w:hint="eastAsia" w:ascii="宋体" w:hAnsi="宋体" w:cs="宋体"/>
          <w:sz w:val="24"/>
          <w:highlight w:val="none"/>
          <w:lang w:val="en-US" w:eastAsia="zh-CN"/>
        </w:rPr>
        <w:t>一</w:t>
      </w:r>
      <w:r>
        <w:rPr>
          <w:rFonts w:hint="eastAsia" w:ascii="宋体" w:hAnsi="宋体" w:cs="宋体"/>
          <w:sz w:val="24"/>
          <w:highlight w:val="none"/>
          <w:lang w:eastAsia="zh-CN"/>
        </w:rPr>
        <w:t>）</w:t>
      </w:r>
      <w:r>
        <w:rPr>
          <w:rFonts w:hint="eastAsia" w:ascii="宋体" w:hAnsi="宋体" w:eastAsia="宋体" w:cs="宋体"/>
          <w:sz w:val="24"/>
          <w:highlight w:val="none"/>
        </w:rPr>
        <w:t>乙方有权依据合同约定和项目需要，向甲方了解有关情况，调阅有关资料等，甲方应予积极配合；</w:t>
      </w:r>
    </w:p>
    <w:p w14:paraId="6EAE9F02">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cs="宋体"/>
          <w:sz w:val="24"/>
          <w:highlight w:val="none"/>
          <w:lang w:eastAsia="zh-CN"/>
        </w:rPr>
        <w:t>（</w:t>
      </w:r>
      <w:r>
        <w:rPr>
          <w:rFonts w:hint="eastAsia" w:ascii="宋体" w:hAnsi="宋体" w:cs="宋体"/>
          <w:sz w:val="24"/>
          <w:highlight w:val="none"/>
          <w:lang w:val="en-US" w:eastAsia="zh-CN"/>
        </w:rPr>
        <w:t>二</w:t>
      </w:r>
      <w:r>
        <w:rPr>
          <w:rFonts w:hint="eastAsia" w:ascii="宋体" w:hAnsi="宋体" w:cs="宋体"/>
          <w:sz w:val="24"/>
          <w:highlight w:val="none"/>
          <w:lang w:eastAsia="zh-CN"/>
        </w:rPr>
        <w:t>）</w:t>
      </w:r>
      <w:r>
        <w:rPr>
          <w:rFonts w:hint="eastAsia" w:ascii="宋体" w:hAnsi="宋体" w:eastAsia="宋体" w:cs="宋体"/>
          <w:sz w:val="24"/>
          <w:highlight w:val="none"/>
        </w:rPr>
        <w:t>乙方有义务妥善保管和保护由甲方提供的前款信息和资料等；</w:t>
      </w:r>
    </w:p>
    <w:p w14:paraId="2D57BB03">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
          <w:sz w:val="24"/>
          <w:highlight w:val="none"/>
        </w:rPr>
      </w:pPr>
      <w:r>
        <w:rPr>
          <w:rFonts w:hint="eastAsia" w:ascii="宋体" w:hAnsi="宋体" w:cs="宋体"/>
          <w:sz w:val="24"/>
          <w:highlight w:val="none"/>
          <w:lang w:eastAsia="zh-CN"/>
        </w:rPr>
        <w:t>（</w:t>
      </w:r>
      <w:r>
        <w:rPr>
          <w:rFonts w:hint="eastAsia" w:ascii="宋体" w:hAnsi="宋体" w:cs="宋体"/>
          <w:sz w:val="24"/>
          <w:highlight w:val="none"/>
          <w:lang w:val="en-US" w:eastAsia="zh-CN"/>
        </w:rPr>
        <w:t>三</w:t>
      </w:r>
      <w:r>
        <w:rPr>
          <w:rFonts w:hint="eastAsia" w:ascii="宋体" w:hAnsi="宋体" w:cs="宋体"/>
          <w:sz w:val="24"/>
          <w:highlight w:val="none"/>
          <w:lang w:eastAsia="zh-CN"/>
        </w:rPr>
        <w:t>）</w:t>
      </w:r>
      <w:r>
        <w:rPr>
          <w:rFonts w:hint="eastAsia" w:ascii="宋体" w:hAnsi="宋体" w:eastAsia="宋体" w:cs="宋体"/>
          <w:sz w:val="24"/>
          <w:highlight w:val="none"/>
        </w:rPr>
        <w:t>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5FCF52FB">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
          <w:sz w:val="24"/>
          <w:highlight w:val="none"/>
        </w:rPr>
      </w:pPr>
      <w:r>
        <w:rPr>
          <w:rFonts w:hint="eastAsia" w:ascii="宋体" w:hAnsi="宋体" w:cs="宋体"/>
          <w:sz w:val="24"/>
          <w:highlight w:val="none"/>
          <w:lang w:val="en-US" w:eastAsia="zh-CN"/>
        </w:rPr>
        <w:t>（四）</w:t>
      </w:r>
      <w:r>
        <w:rPr>
          <w:rFonts w:hint="eastAsia" w:ascii="宋体" w:hAnsi="宋体" w:eastAsia="宋体" w:cs="宋体"/>
          <w:sz w:val="24"/>
          <w:highlight w:val="none"/>
          <w:lang w:eastAsia="zh-CN"/>
        </w:rPr>
        <w:t>甲乙双方如出现泄密行为，泄密方应承担相关的法律责任，包括但是不限于对由此给对方造成的经济损失进行赔偿。</w:t>
      </w:r>
    </w:p>
    <w:p w14:paraId="7CE1A6D1">
      <w:pPr>
        <w:pStyle w:val="5"/>
        <w:keepNext w:val="0"/>
        <w:keepLines w:val="0"/>
        <w:pageBreakBefore w:val="0"/>
        <w:kinsoku/>
        <w:wordWrap/>
        <w:overflowPunct/>
        <w:topLinePunct w:val="0"/>
        <w:bidi w:val="0"/>
        <w:spacing w:line="360" w:lineRule="auto"/>
        <w:ind w:firstLine="0" w:firstLineChars="0"/>
        <w:jc w:val="left"/>
        <w:rPr>
          <w:rFonts w:hint="eastAsia" w:ascii="宋体" w:hAnsi="宋体" w:cs="宋体"/>
          <w:b/>
          <w:bCs/>
          <w:sz w:val="24"/>
          <w:highlight w:val="none"/>
        </w:rPr>
      </w:pPr>
      <w:r>
        <w:rPr>
          <w:rFonts w:hint="eastAsia" w:ascii="宋体" w:hAnsi="宋体" w:cs="宋体"/>
          <w:b/>
          <w:sz w:val="24"/>
          <w:highlight w:val="none"/>
          <w:lang w:val="en-US" w:eastAsia="zh-CN"/>
        </w:rPr>
        <w:t>十六、</w:t>
      </w:r>
      <w:r>
        <w:rPr>
          <w:rFonts w:hint="eastAsia" w:ascii="宋体" w:hAnsi="宋体" w:cs="宋体"/>
          <w:b/>
          <w:sz w:val="24"/>
          <w:highlight w:val="none"/>
        </w:rPr>
        <w:t>破产终止合同</w:t>
      </w:r>
    </w:p>
    <w:p w14:paraId="1FB2D1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b/>
          <w:bCs/>
          <w:kern w:val="0"/>
          <w:sz w:val="24"/>
          <w:szCs w:val="24"/>
          <w:highlight w:val="none"/>
          <w:u w:val="none" w:color="000000"/>
          <w:lang w:eastAsia="zh-CN"/>
        </w:rPr>
      </w:pPr>
      <w:r>
        <w:rPr>
          <w:rFonts w:hint="eastAsia" w:ascii="宋体" w:hAnsi="宋体" w:eastAsia="宋体" w:cs="宋体"/>
          <w:color w:val="auto"/>
          <w:sz w:val="24"/>
          <w:highlight w:val="none"/>
        </w:rPr>
        <w:t>当乙方破产或无提供服务能力时，甲方可在任何时候以书面形式通知乙方单方解除合同；并且该终止合同不损害或不影响甲方已采取或将采取补救措施的权利。</w:t>
      </w:r>
    </w:p>
    <w:p w14:paraId="48748A3E">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lang w:eastAsia="zh-CN"/>
        </w:rPr>
      </w:pPr>
      <w:r>
        <w:rPr>
          <w:rFonts w:hint="eastAsia" w:ascii="宋体" w:hAnsi="宋体" w:cs="宋体"/>
          <w:b/>
          <w:bCs/>
          <w:kern w:val="0"/>
          <w:sz w:val="24"/>
          <w:szCs w:val="24"/>
          <w:highlight w:val="none"/>
          <w:u w:val="none" w:color="000000"/>
          <w:lang w:eastAsia="zh-CN"/>
        </w:rPr>
        <w:t>十</w:t>
      </w:r>
      <w:r>
        <w:rPr>
          <w:rFonts w:hint="eastAsia" w:ascii="宋体" w:hAnsi="宋体" w:cs="宋体"/>
          <w:b/>
          <w:bCs/>
          <w:kern w:val="0"/>
          <w:sz w:val="24"/>
          <w:szCs w:val="24"/>
          <w:highlight w:val="none"/>
          <w:u w:val="none" w:color="000000"/>
          <w:lang w:val="en-US" w:eastAsia="zh-CN"/>
        </w:rPr>
        <w:t>七</w:t>
      </w:r>
      <w:r>
        <w:rPr>
          <w:rFonts w:hint="eastAsia" w:ascii="宋体" w:hAnsi="宋体" w:cs="宋体"/>
          <w:b/>
          <w:bCs/>
          <w:kern w:val="0"/>
          <w:sz w:val="24"/>
          <w:szCs w:val="24"/>
          <w:highlight w:val="none"/>
          <w:u w:val="none" w:color="000000"/>
          <w:lang w:eastAsia="zh-CN"/>
        </w:rPr>
        <w:t>、合同争议解决的方式</w:t>
      </w:r>
    </w:p>
    <w:p w14:paraId="33C19D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本合同在履行过程中发生的争议，由甲、乙双方当事人协商解决，协商不成，依法向甲方所在地人民法院提起诉讼。</w:t>
      </w:r>
    </w:p>
    <w:p w14:paraId="7254024B">
      <w:pPr>
        <w:keepNext w:val="0"/>
        <w:keepLines w:val="0"/>
        <w:pageBreakBefore w:val="0"/>
        <w:widowControl w:val="0"/>
        <w:kinsoku/>
        <w:wordWrap/>
        <w:overflowPunct/>
        <w:topLinePunct w:val="0"/>
        <w:autoSpaceDE/>
        <w:autoSpaceDN/>
        <w:bidi w:val="0"/>
        <w:adjustRightInd/>
        <w:snapToGrid/>
        <w:spacing w:line="360" w:lineRule="auto"/>
        <w:textAlignment w:val="baseline"/>
        <w:rPr>
          <w:rFonts w:hint="eastAsia" w:ascii="宋体" w:hAnsi="宋体" w:cs="宋体"/>
          <w:b/>
          <w:bCs/>
          <w:kern w:val="0"/>
          <w:sz w:val="24"/>
          <w:szCs w:val="24"/>
          <w:highlight w:val="none"/>
          <w:u w:val="none" w:color="000000"/>
          <w:lang w:eastAsia="zh-CN"/>
        </w:rPr>
      </w:pPr>
      <w:r>
        <w:rPr>
          <w:rFonts w:hint="eastAsia" w:ascii="宋体" w:hAnsi="宋体" w:cs="宋体"/>
          <w:b/>
          <w:bCs/>
          <w:kern w:val="0"/>
          <w:sz w:val="24"/>
          <w:szCs w:val="24"/>
          <w:highlight w:val="none"/>
          <w:u w:val="none" w:color="000000"/>
          <w:lang w:eastAsia="zh-CN"/>
        </w:rPr>
        <w:t>十</w:t>
      </w:r>
      <w:r>
        <w:rPr>
          <w:rFonts w:hint="eastAsia" w:ascii="宋体" w:hAnsi="宋体" w:cs="宋体"/>
          <w:b/>
          <w:bCs/>
          <w:kern w:val="0"/>
          <w:sz w:val="24"/>
          <w:szCs w:val="24"/>
          <w:highlight w:val="none"/>
          <w:u w:val="none" w:color="000000"/>
          <w:lang w:val="en-US" w:eastAsia="zh-CN"/>
        </w:rPr>
        <w:t>八</w:t>
      </w:r>
      <w:r>
        <w:rPr>
          <w:rFonts w:hint="eastAsia" w:ascii="宋体" w:hAnsi="宋体" w:cs="宋体"/>
          <w:b/>
          <w:bCs/>
          <w:kern w:val="0"/>
          <w:sz w:val="24"/>
          <w:szCs w:val="24"/>
          <w:highlight w:val="none"/>
          <w:u w:val="none" w:color="000000"/>
          <w:lang w:eastAsia="zh-CN"/>
        </w:rPr>
        <w:t>、合同生效</w:t>
      </w:r>
    </w:p>
    <w:p w14:paraId="78AF42D9">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lang w:val="en-US" w:eastAsia="zh-CN"/>
        </w:rPr>
        <w:t>政府采购合同履行中，甲方需追加与合同标的相同的货物、工程或者服务的，在不改变合同其他条款的前提下，可以与乙方协商签订补充合同，但所有补充合同的采购金额不得超过原合同采购金额的10%。</w:t>
      </w:r>
    </w:p>
    <w:p w14:paraId="7D0CE6CF">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（二）本合同须经甲、乙双方的法定代表人（委托代理人）在合同书上签字并加盖本单位公章后正式生效。</w:t>
      </w:r>
    </w:p>
    <w:p w14:paraId="7082C83D">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三</w:t>
      </w:r>
      <w:r>
        <w:rPr>
          <w:rFonts w:hint="eastAsia" w:ascii="宋体" w:hAnsi="宋体" w:eastAsia="宋体" w:cs="宋体"/>
          <w:color w:val="auto"/>
          <w:sz w:val="24"/>
          <w:szCs w:val="24"/>
          <w:highlight w:val="none"/>
        </w:rPr>
        <w:t>）合同生效后，甲、乙双方须严格执行本合同条款的规定，全面履行合同，违者按《中华人民共和国民法典》的有关规定承担相应责任。</w:t>
      </w:r>
    </w:p>
    <w:p w14:paraId="714E3516">
      <w:pPr>
        <w:keepNext w:val="0"/>
        <w:keepLines w:val="0"/>
        <w:pageBreakBefore w:val="0"/>
        <w:kinsoku/>
        <w:wordWrap/>
        <w:overflowPunct/>
        <w:topLinePunct w:val="0"/>
        <w:bidi w:val="0"/>
        <w:spacing w:line="360" w:lineRule="auto"/>
        <w:ind w:firstLine="480" w:firstLineChars="200"/>
        <w:rPr>
          <w:rFonts w:hint="eastAsia" w:ascii="宋体" w:hAnsi="宋体" w:cs="宋体"/>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w:t>
      </w:r>
      <w:r>
        <w:rPr>
          <w:rFonts w:hint="eastAsia" w:ascii="宋体" w:hAnsi="宋体" w:cs="宋体"/>
          <w:sz w:val="24"/>
          <w:szCs w:val="24"/>
          <w:highlight w:val="none"/>
        </w:rPr>
        <w:t>本合同一式</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份，甲乙双方各执</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份。</w:t>
      </w:r>
    </w:p>
    <w:p w14:paraId="540AAD7E">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（五）合同未尽事宜，由甲、乙双方协商签订补充协议，作为合同的补充，与原合同具有同等法律效力，补充协议与原协议不一致的，以补充协议为准。</w:t>
      </w:r>
    </w:p>
    <w:tbl>
      <w:tblPr>
        <w:tblStyle w:val="3"/>
        <w:tblpPr w:leftFromText="180" w:rightFromText="180" w:vertAnchor="text" w:horzAnchor="page" w:tblpX="1937" w:tblpY="99"/>
        <w:tblOverlap w:val="never"/>
        <w:tblW w:w="0" w:type="auto"/>
        <w:tblInd w:w="0" w:type="dxa"/>
        <w:tblLayout w:type="fixed"/>
        <w:tblCellMar>
          <w:top w:w="0" w:type="dxa"/>
          <w:left w:w="108" w:type="dxa"/>
          <w:bottom w:w="0" w:type="dxa"/>
          <w:right w:w="108" w:type="dxa"/>
        </w:tblCellMar>
      </w:tblPr>
      <w:tblGrid>
        <w:gridCol w:w="4201"/>
        <w:gridCol w:w="4202"/>
      </w:tblGrid>
      <w:tr w14:paraId="47B9AAA2">
        <w:tblPrEx>
          <w:tblCellMar>
            <w:top w:w="0" w:type="dxa"/>
            <w:left w:w="108" w:type="dxa"/>
            <w:bottom w:w="0" w:type="dxa"/>
            <w:right w:w="108" w:type="dxa"/>
          </w:tblCellMar>
        </w:tblPrEx>
        <w:trPr>
          <w:trHeight w:val="484" w:hRule="exact"/>
        </w:trPr>
        <w:tc>
          <w:tcPr>
            <w:tcW w:w="4201" w:type="dxa"/>
            <w:noWrap w:val="0"/>
            <w:vAlign w:val="center"/>
          </w:tcPr>
          <w:p w14:paraId="619B1C36">
            <w:pPr>
              <w:spacing w:line="360" w:lineRule="auto"/>
              <w:ind w:firstLine="480" w:firstLineChars="200"/>
              <w:rPr>
                <w:rFonts w:ascii="宋体"/>
                <w:sz w:val="24"/>
                <w:szCs w:val="24"/>
                <w:highlight w:val="none"/>
              </w:rPr>
            </w:pPr>
            <w:r>
              <w:rPr>
                <w:rFonts w:hint="eastAsia" w:ascii="宋体" w:hAnsi="宋体" w:cs="宋体"/>
                <w:sz w:val="24"/>
                <w:szCs w:val="24"/>
                <w:highlight w:val="none"/>
              </w:rPr>
              <w:t>甲</w:t>
            </w:r>
            <w:r>
              <w:rPr>
                <w:rFonts w:ascii="宋体" w:hAnsi="宋体" w:cs="宋体"/>
                <w:sz w:val="24"/>
                <w:szCs w:val="24"/>
                <w:highlight w:val="none"/>
              </w:rPr>
              <w:t xml:space="preserve">  </w:t>
            </w:r>
            <w:r>
              <w:rPr>
                <w:rFonts w:hint="eastAsia" w:ascii="宋体" w:hAnsi="宋体" w:cs="宋体"/>
                <w:sz w:val="24"/>
                <w:szCs w:val="24"/>
                <w:highlight w:val="none"/>
              </w:rPr>
              <w:t>方</w:t>
            </w:r>
          </w:p>
        </w:tc>
        <w:tc>
          <w:tcPr>
            <w:tcW w:w="4202" w:type="dxa"/>
            <w:noWrap w:val="0"/>
            <w:vAlign w:val="center"/>
          </w:tcPr>
          <w:p w14:paraId="794953DD">
            <w:pPr>
              <w:spacing w:line="360" w:lineRule="auto"/>
              <w:ind w:firstLine="480" w:firstLineChars="200"/>
              <w:rPr>
                <w:rFonts w:ascii="宋体"/>
                <w:sz w:val="24"/>
                <w:szCs w:val="24"/>
                <w:highlight w:val="none"/>
              </w:rPr>
            </w:pPr>
            <w:r>
              <w:rPr>
                <w:rFonts w:hint="eastAsia" w:ascii="宋体" w:hAnsi="宋体" w:cs="宋体"/>
                <w:sz w:val="24"/>
                <w:szCs w:val="24"/>
                <w:highlight w:val="none"/>
              </w:rPr>
              <w:t>乙</w:t>
            </w:r>
            <w:r>
              <w:rPr>
                <w:rFonts w:ascii="宋体" w:hAnsi="宋体" w:cs="宋体"/>
                <w:sz w:val="24"/>
                <w:szCs w:val="24"/>
                <w:highlight w:val="none"/>
              </w:rPr>
              <w:t xml:space="preserve">  </w:t>
            </w:r>
            <w:r>
              <w:rPr>
                <w:rFonts w:hint="eastAsia" w:ascii="宋体" w:hAnsi="宋体" w:cs="宋体"/>
                <w:sz w:val="24"/>
                <w:szCs w:val="24"/>
                <w:highlight w:val="none"/>
              </w:rPr>
              <w:t>方</w:t>
            </w:r>
          </w:p>
        </w:tc>
      </w:tr>
      <w:tr w14:paraId="70AFC243">
        <w:tblPrEx>
          <w:tblCellMar>
            <w:top w:w="0" w:type="dxa"/>
            <w:left w:w="108" w:type="dxa"/>
            <w:bottom w:w="0" w:type="dxa"/>
            <w:right w:w="108" w:type="dxa"/>
          </w:tblCellMar>
        </w:tblPrEx>
        <w:trPr>
          <w:trHeight w:val="467" w:hRule="exact"/>
        </w:trPr>
        <w:tc>
          <w:tcPr>
            <w:tcW w:w="4201" w:type="dxa"/>
            <w:noWrap w:val="0"/>
            <w:vAlign w:val="center"/>
          </w:tcPr>
          <w:p w14:paraId="637ADDAC">
            <w:pPr>
              <w:spacing w:line="360" w:lineRule="auto"/>
              <w:ind w:firstLine="480" w:firstLineChars="200"/>
              <w:rPr>
                <w:rFonts w:ascii="宋体"/>
                <w:sz w:val="24"/>
                <w:szCs w:val="24"/>
                <w:highlight w:val="none"/>
              </w:rPr>
            </w:pPr>
            <w:r>
              <w:rPr>
                <w:rFonts w:hint="eastAsia" w:ascii="宋体" w:hAnsi="宋体" w:cs="宋体"/>
                <w:sz w:val="24"/>
                <w:szCs w:val="24"/>
                <w:highlight w:val="none"/>
              </w:rPr>
              <w:t>（盖章）</w:t>
            </w:r>
          </w:p>
        </w:tc>
        <w:tc>
          <w:tcPr>
            <w:tcW w:w="4202" w:type="dxa"/>
            <w:noWrap w:val="0"/>
            <w:vAlign w:val="center"/>
          </w:tcPr>
          <w:p w14:paraId="02B725CF">
            <w:pPr>
              <w:spacing w:line="360" w:lineRule="auto"/>
              <w:ind w:firstLine="480" w:firstLineChars="200"/>
              <w:rPr>
                <w:rFonts w:ascii="宋体"/>
                <w:sz w:val="24"/>
                <w:szCs w:val="24"/>
                <w:highlight w:val="none"/>
              </w:rPr>
            </w:pPr>
            <w:r>
              <w:rPr>
                <w:rFonts w:hint="eastAsia" w:ascii="宋体" w:hAnsi="宋体" w:cs="宋体"/>
                <w:sz w:val="24"/>
                <w:szCs w:val="24"/>
                <w:highlight w:val="none"/>
              </w:rPr>
              <w:t>（盖章）</w:t>
            </w:r>
          </w:p>
        </w:tc>
      </w:tr>
      <w:tr w14:paraId="22489A5F">
        <w:tblPrEx>
          <w:tblCellMar>
            <w:top w:w="0" w:type="dxa"/>
            <w:left w:w="108" w:type="dxa"/>
            <w:bottom w:w="0" w:type="dxa"/>
            <w:right w:w="108" w:type="dxa"/>
          </w:tblCellMar>
        </w:tblPrEx>
        <w:trPr>
          <w:trHeight w:val="501" w:hRule="exact"/>
        </w:trPr>
        <w:tc>
          <w:tcPr>
            <w:tcW w:w="4201" w:type="dxa"/>
            <w:noWrap w:val="0"/>
            <w:vAlign w:val="center"/>
          </w:tcPr>
          <w:p w14:paraId="3DAD078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地址：</w:t>
            </w:r>
            <w:r>
              <w:rPr>
                <w:rFonts w:ascii="宋体" w:hAnsi="宋体" w:cs="宋体"/>
                <w:sz w:val="24"/>
                <w:szCs w:val="24"/>
                <w:highlight w:val="none"/>
              </w:rPr>
              <w:t xml:space="preserve"> </w:t>
            </w:r>
          </w:p>
        </w:tc>
        <w:tc>
          <w:tcPr>
            <w:tcW w:w="4202" w:type="dxa"/>
            <w:noWrap w:val="0"/>
            <w:vAlign w:val="center"/>
          </w:tcPr>
          <w:p w14:paraId="7DA040AE">
            <w:pPr>
              <w:spacing w:line="360" w:lineRule="auto"/>
              <w:ind w:firstLine="480" w:firstLineChars="200"/>
              <w:rPr>
                <w:rFonts w:ascii="宋体"/>
                <w:sz w:val="24"/>
                <w:szCs w:val="24"/>
                <w:highlight w:val="none"/>
              </w:rPr>
            </w:pPr>
            <w:r>
              <w:rPr>
                <w:rFonts w:hint="eastAsia" w:ascii="宋体" w:hAnsi="宋体" w:cs="宋体"/>
                <w:sz w:val="24"/>
                <w:szCs w:val="24"/>
                <w:highlight w:val="none"/>
              </w:rPr>
              <w:t>地址：</w:t>
            </w:r>
          </w:p>
        </w:tc>
      </w:tr>
      <w:tr w14:paraId="53DC44B9">
        <w:tblPrEx>
          <w:tblCellMar>
            <w:top w:w="0" w:type="dxa"/>
            <w:left w:w="108" w:type="dxa"/>
            <w:bottom w:w="0" w:type="dxa"/>
            <w:right w:w="108" w:type="dxa"/>
          </w:tblCellMar>
        </w:tblPrEx>
        <w:trPr>
          <w:trHeight w:val="450" w:hRule="exact"/>
        </w:trPr>
        <w:tc>
          <w:tcPr>
            <w:tcW w:w="4201" w:type="dxa"/>
            <w:noWrap w:val="0"/>
            <w:vAlign w:val="center"/>
          </w:tcPr>
          <w:p w14:paraId="4B5E9D2D">
            <w:pPr>
              <w:spacing w:line="360" w:lineRule="auto"/>
              <w:ind w:firstLine="480" w:firstLineChars="200"/>
              <w:rPr>
                <w:rFonts w:ascii="宋体"/>
                <w:sz w:val="24"/>
                <w:szCs w:val="24"/>
                <w:highlight w:val="none"/>
              </w:rPr>
            </w:pPr>
            <w:r>
              <w:rPr>
                <w:rFonts w:hint="eastAsia" w:ascii="宋体" w:hAnsi="宋体" w:cs="宋体"/>
                <w:sz w:val="24"/>
                <w:szCs w:val="24"/>
                <w:highlight w:val="none"/>
              </w:rPr>
              <w:t>邮编：</w:t>
            </w:r>
          </w:p>
        </w:tc>
        <w:tc>
          <w:tcPr>
            <w:tcW w:w="4202" w:type="dxa"/>
            <w:noWrap w:val="0"/>
            <w:vAlign w:val="center"/>
          </w:tcPr>
          <w:p w14:paraId="5BC9C61F">
            <w:pPr>
              <w:spacing w:line="360" w:lineRule="auto"/>
              <w:ind w:firstLine="480" w:firstLineChars="200"/>
              <w:rPr>
                <w:rFonts w:ascii="宋体"/>
                <w:sz w:val="24"/>
                <w:szCs w:val="24"/>
                <w:highlight w:val="none"/>
              </w:rPr>
            </w:pPr>
            <w:r>
              <w:rPr>
                <w:rFonts w:hint="eastAsia" w:ascii="宋体" w:hAnsi="宋体" w:cs="宋体"/>
                <w:sz w:val="24"/>
                <w:szCs w:val="24"/>
                <w:highlight w:val="none"/>
              </w:rPr>
              <w:t>邮编：</w:t>
            </w:r>
          </w:p>
        </w:tc>
      </w:tr>
      <w:tr w14:paraId="6789A1F9">
        <w:tblPrEx>
          <w:tblCellMar>
            <w:top w:w="0" w:type="dxa"/>
            <w:left w:w="108" w:type="dxa"/>
            <w:bottom w:w="0" w:type="dxa"/>
            <w:right w:w="108" w:type="dxa"/>
          </w:tblCellMar>
        </w:tblPrEx>
        <w:trPr>
          <w:trHeight w:val="533" w:hRule="exact"/>
        </w:trPr>
        <w:tc>
          <w:tcPr>
            <w:tcW w:w="4201" w:type="dxa"/>
            <w:noWrap w:val="0"/>
            <w:vAlign w:val="center"/>
          </w:tcPr>
          <w:p w14:paraId="2D3EB06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法定</w:t>
            </w:r>
            <w:r>
              <w:rPr>
                <w:rFonts w:hint="eastAsia" w:ascii="宋体" w:hAnsi="宋体" w:cs="宋体"/>
                <w:sz w:val="24"/>
                <w:szCs w:val="24"/>
                <w:highlight w:val="none"/>
                <w:lang w:eastAsia="zh-CN"/>
              </w:rPr>
              <w:t>代表人</w:t>
            </w:r>
            <w:r>
              <w:rPr>
                <w:rFonts w:hint="eastAsia" w:ascii="宋体" w:hAnsi="宋体" w:cs="宋体"/>
                <w:sz w:val="24"/>
                <w:szCs w:val="24"/>
                <w:highlight w:val="none"/>
              </w:rPr>
              <w:t>：</w:t>
            </w:r>
            <w:r>
              <w:rPr>
                <w:rFonts w:ascii="宋体" w:hAnsi="宋体" w:cs="宋体"/>
                <w:sz w:val="24"/>
                <w:szCs w:val="24"/>
                <w:highlight w:val="none"/>
              </w:rPr>
              <w:t xml:space="preserve"> </w:t>
            </w:r>
          </w:p>
        </w:tc>
        <w:tc>
          <w:tcPr>
            <w:tcW w:w="4202" w:type="dxa"/>
            <w:noWrap w:val="0"/>
            <w:vAlign w:val="center"/>
          </w:tcPr>
          <w:p w14:paraId="3F9AB10A">
            <w:pPr>
              <w:spacing w:line="360" w:lineRule="auto"/>
              <w:ind w:firstLine="480" w:firstLineChars="200"/>
              <w:rPr>
                <w:rFonts w:ascii="宋体"/>
                <w:sz w:val="24"/>
                <w:szCs w:val="24"/>
                <w:highlight w:val="none"/>
              </w:rPr>
            </w:pPr>
            <w:r>
              <w:rPr>
                <w:rFonts w:hint="eastAsia" w:ascii="宋体" w:hAnsi="宋体" w:cs="宋体"/>
                <w:sz w:val="24"/>
                <w:szCs w:val="24"/>
                <w:highlight w:val="none"/>
              </w:rPr>
              <w:t>法定</w:t>
            </w:r>
            <w:r>
              <w:rPr>
                <w:rFonts w:hint="eastAsia" w:ascii="宋体" w:hAnsi="宋体" w:cs="宋体"/>
                <w:sz w:val="24"/>
                <w:szCs w:val="24"/>
                <w:highlight w:val="none"/>
                <w:lang w:eastAsia="zh-CN"/>
              </w:rPr>
              <w:t>代表人</w:t>
            </w:r>
            <w:r>
              <w:rPr>
                <w:rFonts w:hint="eastAsia" w:ascii="宋体" w:hAnsi="宋体" w:cs="宋体"/>
                <w:sz w:val="24"/>
                <w:szCs w:val="24"/>
                <w:highlight w:val="none"/>
              </w:rPr>
              <w:t>(负责人)：</w:t>
            </w:r>
          </w:p>
        </w:tc>
      </w:tr>
      <w:tr w14:paraId="6797C513">
        <w:tblPrEx>
          <w:tblCellMar>
            <w:top w:w="0" w:type="dxa"/>
            <w:left w:w="108" w:type="dxa"/>
            <w:bottom w:w="0" w:type="dxa"/>
            <w:right w:w="108" w:type="dxa"/>
          </w:tblCellMar>
        </w:tblPrEx>
        <w:trPr>
          <w:trHeight w:val="533" w:hRule="exact"/>
        </w:trPr>
        <w:tc>
          <w:tcPr>
            <w:tcW w:w="4201" w:type="dxa"/>
            <w:noWrap w:val="0"/>
            <w:vAlign w:val="center"/>
          </w:tcPr>
          <w:p w14:paraId="3E97053D">
            <w:pPr>
              <w:spacing w:line="360" w:lineRule="auto"/>
              <w:ind w:firstLine="480" w:firstLineChars="200"/>
              <w:rPr>
                <w:rFonts w:ascii="宋体"/>
                <w:sz w:val="24"/>
                <w:szCs w:val="24"/>
                <w:highlight w:val="none"/>
              </w:rPr>
            </w:pPr>
            <w:r>
              <w:rPr>
                <w:rFonts w:hint="eastAsia" w:ascii="宋体" w:hAnsi="宋体" w:cs="宋体"/>
                <w:sz w:val="24"/>
                <w:szCs w:val="24"/>
                <w:highlight w:val="none"/>
              </w:rPr>
              <w:t>委托代理人：</w:t>
            </w:r>
          </w:p>
        </w:tc>
        <w:tc>
          <w:tcPr>
            <w:tcW w:w="4202" w:type="dxa"/>
            <w:noWrap w:val="0"/>
            <w:vAlign w:val="center"/>
          </w:tcPr>
          <w:p w14:paraId="315B981C">
            <w:pPr>
              <w:spacing w:line="360" w:lineRule="auto"/>
              <w:ind w:firstLine="480" w:firstLineChars="200"/>
              <w:rPr>
                <w:rFonts w:ascii="宋体"/>
                <w:sz w:val="24"/>
                <w:szCs w:val="24"/>
                <w:highlight w:val="none"/>
              </w:rPr>
            </w:pPr>
            <w:r>
              <w:rPr>
                <w:rFonts w:hint="eastAsia" w:ascii="宋体" w:hAnsi="宋体" w:cs="宋体"/>
                <w:sz w:val="24"/>
                <w:szCs w:val="24"/>
                <w:highlight w:val="none"/>
              </w:rPr>
              <w:t>委托代理人：</w:t>
            </w:r>
          </w:p>
        </w:tc>
      </w:tr>
      <w:tr w14:paraId="660D145A">
        <w:tblPrEx>
          <w:tblCellMar>
            <w:top w:w="0" w:type="dxa"/>
            <w:left w:w="108" w:type="dxa"/>
            <w:bottom w:w="0" w:type="dxa"/>
            <w:right w:w="108" w:type="dxa"/>
          </w:tblCellMar>
        </w:tblPrEx>
        <w:trPr>
          <w:trHeight w:val="500" w:hRule="exact"/>
        </w:trPr>
        <w:tc>
          <w:tcPr>
            <w:tcW w:w="4201" w:type="dxa"/>
            <w:noWrap w:val="0"/>
            <w:vAlign w:val="center"/>
          </w:tcPr>
          <w:p w14:paraId="7B544B4E">
            <w:pPr>
              <w:spacing w:line="360" w:lineRule="auto"/>
              <w:ind w:firstLine="480" w:firstLineChars="200"/>
              <w:rPr>
                <w:rFonts w:ascii="宋体"/>
                <w:sz w:val="24"/>
                <w:szCs w:val="24"/>
                <w:highlight w:val="none"/>
              </w:rPr>
            </w:pPr>
            <w:r>
              <w:rPr>
                <w:rFonts w:hint="eastAsia" w:ascii="宋体" w:hAnsi="宋体" w:cs="宋体"/>
                <w:sz w:val="24"/>
                <w:szCs w:val="24"/>
                <w:highlight w:val="none"/>
              </w:rPr>
              <w:t>电话：</w:t>
            </w:r>
          </w:p>
        </w:tc>
        <w:tc>
          <w:tcPr>
            <w:tcW w:w="4202" w:type="dxa"/>
            <w:noWrap w:val="0"/>
            <w:vAlign w:val="center"/>
          </w:tcPr>
          <w:p w14:paraId="07A12509">
            <w:pPr>
              <w:spacing w:line="360" w:lineRule="auto"/>
              <w:ind w:firstLine="480" w:firstLineChars="200"/>
              <w:rPr>
                <w:rFonts w:ascii="宋体"/>
                <w:sz w:val="24"/>
                <w:szCs w:val="24"/>
                <w:highlight w:val="none"/>
              </w:rPr>
            </w:pPr>
            <w:r>
              <w:rPr>
                <w:rFonts w:hint="eastAsia" w:ascii="宋体" w:hAnsi="宋体" w:cs="宋体"/>
                <w:sz w:val="24"/>
                <w:szCs w:val="24"/>
                <w:highlight w:val="none"/>
              </w:rPr>
              <w:t>电话：</w:t>
            </w:r>
          </w:p>
        </w:tc>
      </w:tr>
      <w:tr w14:paraId="2C7A4D11">
        <w:tblPrEx>
          <w:tblCellMar>
            <w:top w:w="0" w:type="dxa"/>
            <w:left w:w="108" w:type="dxa"/>
            <w:bottom w:w="0" w:type="dxa"/>
            <w:right w:w="108" w:type="dxa"/>
          </w:tblCellMar>
        </w:tblPrEx>
        <w:trPr>
          <w:trHeight w:val="467" w:hRule="exact"/>
        </w:trPr>
        <w:tc>
          <w:tcPr>
            <w:tcW w:w="4201" w:type="dxa"/>
            <w:noWrap w:val="0"/>
            <w:vAlign w:val="center"/>
          </w:tcPr>
          <w:p w14:paraId="6C4F6ACB">
            <w:pPr>
              <w:spacing w:line="360" w:lineRule="auto"/>
              <w:ind w:firstLine="480" w:firstLineChars="200"/>
              <w:rPr>
                <w:rFonts w:ascii="宋体"/>
                <w:sz w:val="24"/>
                <w:szCs w:val="24"/>
                <w:highlight w:val="none"/>
              </w:rPr>
            </w:pPr>
            <w:r>
              <w:rPr>
                <w:rFonts w:hint="eastAsia" w:ascii="宋体" w:hAnsi="宋体" w:cs="宋体"/>
                <w:sz w:val="24"/>
                <w:szCs w:val="24"/>
                <w:highlight w:val="none"/>
              </w:rPr>
              <w:t>传真：</w:t>
            </w:r>
          </w:p>
        </w:tc>
        <w:tc>
          <w:tcPr>
            <w:tcW w:w="4202" w:type="dxa"/>
            <w:noWrap w:val="0"/>
            <w:vAlign w:val="center"/>
          </w:tcPr>
          <w:p w14:paraId="44CB9E8D">
            <w:pPr>
              <w:spacing w:line="360" w:lineRule="auto"/>
              <w:ind w:firstLine="480" w:firstLineChars="200"/>
              <w:rPr>
                <w:rFonts w:ascii="宋体"/>
                <w:sz w:val="24"/>
                <w:szCs w:val="24"/>
                <w:highlight w:val="none"/>
              </w:rPr>
            </w:pPr>
            <w:r>
              <w:rPr>
                <w:rFonts w:hint="eastAsia" w:ascii="宋体" w:hAnsi="宋体" w:cs="宋体"/>
                <w:sz w:val="24"/>
                <w:szCs w:val="24"/>
                <w:highlight w:val="none"/>
              </w:rPr>
              <w:t>传真：</w:t>
            </w:r>
          </w:p>
        </w:tc>
      </w:tr>
      <w:tr w14:paraId="58A41FCE">
        <w:tblPrEx>
          <w:tblCellMar>
            <w:top w:w="0" w:type="dxa"/>
            <w:left w:w="108" w:type="dxa"/>
            <w:bottom w:w="0" w:type="dxa"/>
            <w:right w:w="108" w:type="dxa"/>
          </w:tblCellMar>
        </w:tblPrEx>
        <w:trPr>
          <w:trHeight w:val="567" w:hRule="exact"/>
        </w:trPr>
        <w:tc>
          <w:tcPr>
            <w:tcW w:w="4201" w:type="dxa"/>
            <w:noWrap w:val="0"/>
            <w:vAlign w:val="center"/>
          </w:tcPr>
          <w:p w14:paraId="600D745F">
            <w:pPr>
              <w:spacing w:line="360" w:lineRule="auto"/>
              <w:ind w:firstLine="480" w:firstLineChars="200"/>
              <w:rPr>
                <w:rFonts w:ascii="宋体"/>
                <w:sz w:val="24"/>
                <w:szCs w:val="24"/>
                <w:highlight w:val="none"/>
              </w:rPr>
            </w:pPr>
            <w:r>
              <w:rPr>
                <w:rFonts w:hint="eastAsia" w:ascii="宋体" w:hAnsi="宋体" w:cs="宋体"/>
                <w:sz w:val="24"/>
                <w:szCs w:val="24"/>
                <w:highlight w:val="none"/>
              </w:rPr>
              <w:t>开户银行：</w:t>
            </w:r>
          </w:p>
        </w:tc>
        <w:tc>
          <w:tcPr>
            <w:tcW w:w="4202" w:type="dxa"/>
            <w:noWrap w:val="0"/>
            <w:vAlign w:val="center"/>
          </w:tcPr>
          <w:p w14:paraId="373BBA17">
            <w:pPr>
              <w:spacing w:line="360" w:lineRule="auto"/>
              <w:ind w:firstLine="480" w:firstLineChars="200"/>
              <w:rPr>
                <w:rFonts w:ascii="宋体"/>
                <w:sz w:val="24"/>
                <w:szCs w:val="24"/>
                <w:highlight w:val="none"/>
              </w:rPr>
            </w:pPr>
            <w:r>
              <w:rPr>
                <w:rFonts w:hint="eastAsia" w:ascii="宋体" w:hAnsi="宋体" w:cs="宋体"/>
                <w:sz w:val="24"/>
                <w:szCs w:val="24"/>
                <w:highlight w:val="none"/>
              </w:rPr>
              <w:t>开户银行：</w:t>
            </w:r>
          </w:p>
        </w:tc>
      </w:tr>
      <w:tr w14:paraId="0E205762">
        <w:tblPrEx>
          <w:tblCellMar>
            <w:top w:w="0" w:type="dxa"/>
            <w:left w:w="108" w:type="dxa"/>
            <w:bottom w:w="0" w:type="dxa"/>
            <w:right w:w="108" w:type="dxa"/>
          </w:tblCellMar>
        </w:tblPrEx>
        <w:trPr>
          <w:trHeight w:val="567" w:hRule="exact"/>
        </w:trPr>
        <w:tc>
          <w:tcPr>
            <w:tcW w:w="4201" w:type="dxa"/>
            <w:noWrap w:val="0"/>
            <w:vAlign w:val="center"/>
          </w:tcPr>
          <w:p w14:paraId="35E55BC6">
            <w:pPr>
              <w:spacing w:line="360" w:lineRule="auto"/>
              <w:ind w:firstLine="480" w:firstLineChars="200"/>
              <w:rPr>
                <w:rFonts w:ascii="宋体"/>
                <w:sz w:val="24"/>
                <w:szCs w:val="24"/>
                <w:highlight w:val="none"/>
              </w:rPr>
            </w:pPr>
            <w:r>
              <w:rPr>
                <w:rFonts w:hint="eastAsia" w:ascii="宋体" w:hAnsi="宋体" w:cs="宋体"/>
                <w:sz w:val="24"/>
                <w:szCs w:val="24"/>
                <w:highlight w:val="none"/>
              </w:rPr>
              <w:t>日期：</w:t>
            </w:r>
          </w:p>
        </w:tc>
        <w:tc>
          <w:tcPr>
            <w:tcW w:w="4202" w:type="dxa"/>
            <w:noWrap w:val="0"/>
            <w:vAlign w:val="center"/>
          </w:tcPr>
          <w:p w14:paraId="76AE0E60">
            <w:pPr>
              <w:spacing w:line="360" w:lineRule="auto"/>
              <w:ind w:firstLine="480" w:firstLineChars="200"/>
              <w:rPr>
                <w:rFonts w:ascii="宋体"/>
                <w:sz w:val="24"/>
                <w:szCs w:val="24"/>
                <w:highlight w:val="none"/>
              </w:rPr>
            </w:pPr>
            <w:r>
              <w:rPr>
                <w:rFonts w:hint="eastAsia" w:ascii="宋体" w:hAnsi="宋体" w:cs="宋体"/>
                <w:sz w:val="24"/>
                <w:szCs w:val="24"/>
                <w:highlight w:val="none"/>
              </w:rPr>
              <w:t>日期：</w:t>
            </w:r>
          </w:p>
        </w:tc>
      </w:tr>
    </w:tbl>
    <w:p w14:paraId="28548421">
      <w:pPr>
        <w:outlineLvl w:val="9"/>
        <w:rPr>
          <w:color w:val="auto"/>
          <w:highlight w:val="none"/>
        </w:rPr>
      </w:pPr>
    </w:p>
    <w:p w14:paraId="15C6A83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cs="宋体"/>
          <w:b w:val="0"/>
          <w:bCs w:val="0"/>
          <w:color w:val="auto"/>
          <w:sz w:val="21"/>
          <w:szCs w:val="21"/>
          <w:highlight w:val="none"/>
          <w:lang w:val="en-US" w:eastAsia="zh-CN"/>
        </w:rPr>
      </w:pPr>
      <w:r>
        <w:rPr>
          <w:color w:val="auto"/>
          <w:highlight w:val="none"/>
        </w:rPr>
        <w:br w:type="page"/>
      </w:r>
      <w:r>
        <w:rPr>
          <w:rFonts w:hint="eastAsia" w:ascii="宋体" w:hAnsi="宋体" w:eastAsia="宋体" w:cs="宋体"/>
          <w:b/>
          <w:bCs/>
          <w:color w:val="auto"/>
          <w:kern w:val="2"/>
          <w:sz w:val="24"/>
          <w:szCs w:val="24"/>
          <w:highlight w:val="none"/>
          <w:lang w:val="en-US" w:eastAsia="zh-CN" w:bidi="ar-SA"/>
        </w:rPr>
        <w:t>服务内容价格明细表</w:t>
      </w:r>
    </w:p>
    <w:tbl>
      <w:tblPr>
        <w:tblStyle w:val="3"/>
        <w:tblW w:w="99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1"/>
        <w:gridCol w:w="1416"/>
        <w:gridCol w:w="3395"/>
        <w:gridCol w:w="934"/>
        <w:gridCol w:w="712"/>
        <w:gridCol w:w="1523"/>
        <w:gridCol w:w="1523"/>
      </w:tblGrid>
      <w:tr w14:paraId="4FE15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4" w:hRule="atLeast"/>
        </w:trPr>
        <w:tc>
          <w:tcPr>
            <w:tcW w:w="451"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744ED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1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CA54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33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D80AD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934"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0791C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单位</w:t>
            </w:r>
          </w:p>
        </w:tc>
        <w:tc>
          <w:tcPr>
            <w:tcW w:w="71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9C2FB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c>
          <w:tcPr>
            <w:tcW w:w="152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0038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综合单价（元）</w:t>
            </w:r>
          </w:p>
          <w:p w14:paraId="1160FD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52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21A3ED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合价</w:t>
            </w:r>
            <w:r>
              <w:rPr>
                <w:rFonts w:hint="eastAsia" w:ascii="宋体" w:hAnsi="宋体" w:eastAsia="宋体" w:cs="宋体"/>
                <w:i w:val="0"/>
                <w:iCs w:val="0"/>
                <w:color w:val="000000"/>
                <w:kern w:val="0"/>
                <w:sz w:val="20"/>
                <w:szCs w:val="20"/>
                <w:u w:val="none"/>
                <w:lang w:val="en-US" w:eastAsia="zh-CN" w:bidi="ar"/>
              </w:rPr>
              <w:t>（元）</w:t>
            </w:r>
          </w:p>
        </w:tc>
      </w:tr>
      <w:tr w14:paraId="46940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867" w:type="dxa"/>
            <w:gridSpan w:val="2"/>
            <w:tcBorders>
              <w:top w:val="single" w:color="000000" w:sz="4" w:space="0"/>
              <w:left w:val="single" w:color="000000" w:sz="8" w:space="0"/>
              <w:bottom w:val="single" w:color="000000" w:sz="4" w:space="0"/>
              <w:right w:val="single" w:color="000000" w:sz="4" w:space="0"/>
            </w:tcBorders>
            <w:shd w:val="clear" w:color="FFFFFF" w:fill="FFFFFF"/>
            <w:vAlign w:val="center"/>
          </w:tcPr>
          <w:p w14:paraId="33609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6F04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大修服务</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8125DB">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D19247">
            <w:pPr>
              <w:jc w:val="lef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1F9CC8">
            <w:pPr>
              <w:jc w:val="lef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34637E">
            <w:pPr>
              <w:jc w:val="left"/>
              <w:rPr>
                <w:rFonts w:hint="eastAsia" w:ascii="宋体" w:hAnsi="宋体" w:eastAsia="宋体" w:cs="宋体"/>
                <w:i w:val="0"/>
                <w:iCs w:val="0"/>
                <w:color w:val="000000"/>
                <w:sz w:val="20"/>
                <w:szCs w:val="20"/>
                <w:u w:val="none"/>
              </w:rPr>
            </w:pPr>
          </w:p>
        </w:tc>
      </w:tr>
      <w:tr w14:paraId="36F82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E03B9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6337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0913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空调冷媒管系统检漏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1.检漏部位:空调冷媒管系统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2.检漏介质:氮气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1.系统冲入氮气，压力3MPa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2.用肥皂水或洗衣粉溶液沿冷媒管检漏</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EFE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E4AC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089D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21D12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6D9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0DA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B4C8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030801010001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2602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空调冷媒管：有漏点冷媒管拆除、新冷媒管安装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2.输送介质:冷煤（气管）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3.材质:空调用去磷无缝紫铜管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4.规格:Φ31.8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5.连接形式:焊接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6.保温:橡塑发泡材料保温，厚度20mm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1.有漏点的冷媒管、分歧管拆除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2.新管道、管件及弯管的制作安装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3.新管道绝热及保护层安装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4.新分歧管安装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5.新套管制作、安装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CD6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D632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F8EE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834FD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0823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FBBC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36A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030801010002</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E590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空调冷媒管：有漏点冷媒管拆除、新冷媒管安装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2.输送介质:冷煤（气管）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3.材质:空调用去磷无缝紫铜管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4.规格:Φ19.1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5.连接形式:焊接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6.保温:橡塑发泡材料保温，厚度20mm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1.有漏点的冷媒管、分歧管拆除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2.新管道、管件及弯管的制作安装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3.新管道绝热及保护层安装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4.新分歧管安装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5.新套管制作、安装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4334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407BD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344B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69B48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1C6AB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16F7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5F20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CB002</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DB3F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空调冷媒管系统气密性实验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1.实验部位:空调冷媒管系统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2.介质:氮气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1.系统冲入氮气，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2.分段打压：1段：2MPa，2段：3MPa，3段：4MPa，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3.保压时间：3段：4MPa（2h）,2段：3MPa(24h)</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A02C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2285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60AB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63404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817B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109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46D4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CB003</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14B3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1.部位:空调冷媒管系统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2.材料：氟利昂R410a 10KG/罐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1.系统抽真空，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2.冷媒系统冲入制冷剂，</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25F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罐（10KG）</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F51B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01AA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53E5C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12E78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21D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F449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CB004</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84E7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更换压缩机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1.部位:空调室外HVR-400W/SC2FZBP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2.材料：压缩机 ANB78FVAMT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3.连接方式：焊接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1.拆除损坏压缩机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2.安装新压缩机.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3.加压检漏（焊接点）</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514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7A6B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DC7C5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4EBA2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BCF1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E288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5D37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CB005</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862B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更换室外机电路板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1.部位:空调室外机HVR-400W/SC2FZBP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2.材料：室外机电路板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1.拆除损坏电路板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2.安装新电路板.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3.加电运行</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955D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F3AAA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A852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3EB37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41927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2B38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8409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CB006</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7E53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冷冻油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1.部位:空调室外机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2.介质：R410a专用冷冻油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1.冷媒系统冲入冷冻油，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2.空调系统调试运行</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8BE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桶（1升）</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EFE9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F67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F4851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3FCD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226F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C99F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CB007</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712B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空调系统调试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1.部位:整个空调系统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1.空调系统调试运行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2.电气、通讯系统调试运行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3.运行压力、电流、出回温度等各节点参数测试记录</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2DB1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D2B88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E83D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64543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97C6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F7C6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8DA6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CB008</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11DA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空调室外冷媒管保温修复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1.部位:空调室外冷媒管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2.橡塑发泡材料保温，厚度20mm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1.拆除旧保温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2.安装新保温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3.外缠PE包装带</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F2F9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ABCB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8499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AA114D">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49976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BD95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9ACD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CB009</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80D4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空调室外支架防腐处理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1.部位:屋面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1.支架除锈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2.支架刷防锈漆（两遍）</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E0BA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A983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7D69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1063A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4B246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99ACC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40B9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CB010</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6972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空调室外桥架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1.部位:屋面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2.材料：镀锌桥架100*100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1.拆除旧桥架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2.安装新桥架</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50C7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5F48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3D34E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EE1E6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D440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A3C1B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68BD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CB011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2815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通讯线管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1.部位:屋面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2.材料：塑料线管Φ16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1.拆除旧线管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2.安装新线管</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D4EB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A9F16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9E0DF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EE113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561A8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37A10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689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CB012</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CE02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铜线鼻子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1.部位:屋面空调室外机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2.材料：铜线鼻子Φ25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1.空调室外机电源线制作安装铜线鼻子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2.空调室外机电源线套5色热缩管</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4A6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F69A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E84C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838A4E">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30045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3CD3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9F85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CB014</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F045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空调、新风室外机清洗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1.部位:屋面空调室外机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2.材料：中性清洗剂（pH 6-8）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1.清洗室外机冷凝器翅片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2.梳理变形翅片</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79C9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01ADE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6C28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14C9D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5172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E9F4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F337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CB015</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2A46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空调、新风室内机滤网清洗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1.部位:屋内空调室内机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2.材料：清水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1.清洗室内机滤网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1.滤网晾干后，安装复原</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AC48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2D64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D3BC4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6D95BB">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D1A5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1D005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346F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030902001001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A30D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室内机回风风道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1.材质：镀锌钢板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2.形状：矩形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3.周长或直径：2000mm以内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4.板材厚度：δ0.75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5.接口形式：铆连接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1.原帆布软接口拆除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2.风管、管件制作、安装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3.风管保温及保护层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4.损坏天花板修复</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F08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179EE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4C29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50B1E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2D0A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41D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FF8B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A8BC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风口（方形散流器）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1.类型：FK-10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2.规格：240*240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3.材质：铝合金制品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EED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548E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09F7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EEA32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4AEC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1648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AD6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030903011012</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0331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风口（双层百叶风口）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1.类型：FK-10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2.规格：300X300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3.材质：铝合金制品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0979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37064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A422E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17A5B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4A787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1CA9C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F3ED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030903011013</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B45C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回风口（门铰式）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1.类型：回风口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2.规格：800*200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3.材质：铝合金制品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1.拆除</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0F1D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AEBC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39E7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96A1F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7172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6E1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FD80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030903011014</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19CE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回风口（门铰式）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1.类型：回风口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2.规格：500*200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3.材质：铝合金制品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1.拆除</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6F8C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8744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6D76F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55D4E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50B53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459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99D3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030903011015</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4ECB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出风口（旋流风口）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1.类型：出风口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2.规格：Φ315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3.材质：铝合金制品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1.风口制作、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8688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F73F4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5B0A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D9393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0475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5ED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483B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030903011016</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9E31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出风口（双层百叶风口）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1.类型：出风口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2.规格：240X240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3.材质：ABS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1.风口制作、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778B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7CB10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539A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03D59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0BB2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2870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C209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030903011017</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A058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回风口（门铰式）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1.类型：回风口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2.规格：800*200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3.材质：ABS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1.风口制作、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569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DE85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48E8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8DD0BB">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B5FE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D71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6E90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030903011018</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F601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回风口（门铰式）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1.类型：回风口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2.规格：500*200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3.材质：ABS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1.风口制作、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9F3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144E3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5B59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2612F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7658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BBB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8364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030901004003</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5AD7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新风室内机改造（拆移）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1.规格、型号：HVR-280XF/G1FZBp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2.外型尺寸：1444*840*470（D*W*H）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3.制冷量：28kw，制热量：18kw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4.功率：88w，风量：2800m3/h,最大静压：220pa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5.支架材质、规格：L40角钢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6.支架除锈刷油：支架除锈后刷防锈漆两道，再涂银粉漆两道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7.安装位置：室内新风机房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1.为改造新风机，将新风室内机拆移1m，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2.收氟、断电、割冷媒管、摘除电线、通讯线，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3.支架安装，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4.挪移新风室内机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5.连接冷媒管、电源、通讯线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6.打压捡漏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7.抽真空、充注冷媒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8.损坏天花板、龙骨的修复、加固</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EC5D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889CC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2B1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CBC93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4BB12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6352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73C87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030903021001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E496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新风消声静压箱（拆移）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1.材质：新风消声静压箱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2.规格：1500*1000*500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3.除锈、刷油、防腐设计要求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1.为改造新风机，将新风消声静压箱拆移1m，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2.支架制作、安装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3.挪移新风消声静压箱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4.除锈、刷油、防腐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5.连接风道、新风机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6.损坏天花板、龙骨的修复、加固</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0DE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D2F3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2DBF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637C4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DF07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E35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9952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CB021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69B5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新风风道（拆移）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1.材质：镀锌钢板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2.形状：矩形（800*250）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3.周长或直径：2000mm以内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4.板材厚度：δ0.75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5.接口形式：法兰连接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1.为改造新风机，将部分新风风道拆除，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2.支架制作、安装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3.拆除新风风道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4.损坏天花板、龙骨的修复、加固</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660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6D80F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F467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E732A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C317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3E36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F0E3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030903001001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4561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风量调节阀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1.类型：手动风量调节阀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2.规格：1250*400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2.制作</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2A9DB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DE35E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4778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E42460">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46B28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60BFC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03C8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CB022</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ADD1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新风室内机回风风道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1.材质：镀锌钢板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2.形状：矩形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3.周长或直径：2000mm以内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4.板材厚度：δ0.75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5.接口形式：铆连接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1.风管、管件制作、安装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2.风管保温及保护层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3.损坏天花板、龙骨的修复、加固</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2587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9FC1E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CF97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5DB0B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33D4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C33C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63A9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030903011019</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7234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新风室内机回风口（双层百叶风口）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1.类型：回风口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2.规格：600X600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3.材质：铝合金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1.风口制作、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7463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25BCB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E4AE9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BDE11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36394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531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B438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CB023</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D776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新风系统调试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1.部位:整个新风系统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1.空调系统调试运行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2.电气、通讯系统调试运行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3.运行压力、电流、出回温度等各节点参数测试记录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4.风系统各新风出风口风量调整</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8A7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2E96B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072C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23A76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F0C3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9A0061D">
            <w:pPr>
              <w:jc w:val="left"/>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623AAA">
            <w:pPr>
              <w:jc w:val="center"/>
              <w:rPr>
                <w:rFonts w:hint="eastAsia" w:ascii="宋体" w:hAnsi="宋体" w:eastAsia="宋体" w:cs="宋体"/>
                <w:i w:val="0"/>
                <w:iCs w:val="0"/>
                <w:color w:val="000000"/>
                <w:sz w:val="20"/>
                <w:szCs w:val="20"/>
                <w:u w:val="none"/>
              </w:rPr>
            </w:pP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BC6D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3F7CDA">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3C324B">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4B946">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E85453">
            <w:pPr>
              <w:jc w:val="right"/>
              <w:rPr>
                <w:rFonts w:hint="eastAsia" w:ascii="宋体" w:hAnsi="宋体" w:eastAsia="宋体" w:cs="宋体"/>
                <w:i w:val="0"/>
                <w:iCs w:val="0"/>
                <w:color w:val="000000"/>
                <w:sz w:val="20"/>
                <w:szCs w:val="20"/>
                <w:u w:val="none"/>
              </w:rPr>
            </w:pPr>
          </w:p>
        </w:tc>
      </w:tr>
      <w:tr w14:paraId="6326D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867" w:type="dxa"/>
            <w:gridSpan w:val="2"/>
            <w:tcBorders>
              <w:top w:val="single" w:color="000000" w:sz="4" w:space="0"/>
              <w:left w:val="single" w:color="000000" w:sz="8" w:space="0"/>
              <w:bottom w:val="single" w:color="000000" w:sz="4" w:space="0"/>
              <w:right w:val="single" w:color="000000" w:sz="4" w:space="0"/>
            </w:tcBorders>
            <w:shd w:val="clear" w:color="FFFFFF" w:fill="FFFFFF"/>
            <w:vAlign w:val="center"/>
          </w:tcPr>
          <w:p w14:paraId="0BA915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CE4F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局部改造</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66778C">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AF0A92">
            <w:pPr>
              <w:jc w:val="lef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A6C545">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14A09C">
            <w:pPr>
              <w:jc w:val="right"/>
              <w:rPr>
                <w:rFonts w:hint="eastAsia" w:ascii="宋体" w:hAnsi="宋体" w:eastAsia="宋体" w:cs="宋体"/>
                <w:i w:val="0"/>
                <w:iCs w:val="0"/>
                <w:color w:val="000000"/>
                <w:sz w:val="20"/>
                <w:szCs w:val="20"/>
                <w:u w:val="none"/>
              </w:rPr>
            </w:pPr>
          </w:p>
        </w:tc>
      </w:tr>
      <w:tr w14:paraId="17A21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E304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EC0C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030901004001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B6F8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热泵式全变频空调室外机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1.形式：空调外机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2.外型尺寸：1800×940×825（高x宽X厚）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3.制冷量：56kw，制热量：63.0kw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4.制冷额定功率：14.7Kw，制热额定功率：15.3Kw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5.支架材质及规格：10#槽钢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6.支架油漆：除锈后刷防锈漆两道，再涂面漆两道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7.安装位置：屋面落地安装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1.安装（35T吊车吊装）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2.软管接口制作、安装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3.减震安装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4.设备基础制作（10#槽钢）</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CB39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22975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2FF6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B5604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55AEF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DC4D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9E33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030901004002</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81D3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四方向嵌入机式室内机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1.规格、型号：四方向嵌入机室内机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2.外型尺寸：840*840*288（D*W*H）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3.制冷量：14.0kw，制热量：16.0kw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4.功率：130w，风量：1800m3/h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5.支架材质、规格：L40角钢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6.支架除锈刷油：支架除锈后刷防锈漆两道，再涂银粉漆两道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7.安装位置：室内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2.软管接口制作、安装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3.损坏天花板、龙骨的修复、加固</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9637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2806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73E1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E5A66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2D28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87AF0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FC6A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030801010001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AF90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2.输送介质:冷煤（气管）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3.材质:空调用去磷无缝紫铜管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4.规格:Φ28.6*1.0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5.连接形式:焊接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6.除锈、刷油、防腐、绝热及保护层设计要求:橡塑发泡材料保温，厚度20mm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7.套管形式、规格：钢套管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2.管道绝热及保护层安装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3.管道干燥、清洁、气密性实验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4.分歧管安装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5.套管制作、安装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3B2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606E5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4EA1C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3C574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D759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AC5A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0058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030801010002</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BC55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2.输送介质:冷煤（气管）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3.材质:空调用去磷无缝紫铜管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4.规格:Φ22.2 *1.0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5.连接形式:焊接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6.除锈、刷油、防腐、绝热及保护层设计要求:橡塑发泡材料保温，厚度20mm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7.套管形式、规格：钢套管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2.管道绝热及保护层安装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3.管道干燥、清洁、气密性实验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4.分歧管安装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5.套管制作、安装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7D4C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E75B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C4E3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31AE7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0E4DE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5C0B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1199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030801010003</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9662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2.输送介质:冷煤（气管）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3.材质:空调用去磷无缝紫铜管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4.规格:Φ15.9*1.0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5.连接形式:焊接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6.除锈、刷油、防腐、绝热及保护层设计要求:橡塑发泡材料保温，厚度20mm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7.套管形式、规格：钢套管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2.管道绝热及保护层安装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3.管道干燥、清洁、气密性实验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4.分歧管安装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5.套管制作、安装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3F32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A2FEE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36C2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C3851E">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2FADD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8787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6779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030801010004</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4D71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2.输送介质:冷煤（液管）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3.材质:空调用去磷无缝紫铜管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4.规格:Φ9.5*0.8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5.连接形式:焊接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6.除锈、刷油、防腐、绝热及保护层设计要求:橡塑发泡材料保温，厚度20mm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7.套管形式、规格：钢套管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2.管道绝热及保护层安装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3.管道干燥、清洁、气密性实验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4.分歧管安装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5.套管制作、安装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A7C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4F31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6CDA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D8A81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516F8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20B4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C2EC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030801005001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FF91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PPR 凝结水水管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2.输送介质:冷凝水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3.材质:UPVC水管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4.规格:DN32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5.连接形式:热熔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6.除锈、刷油、防腐、绝热及保护层设计要求:橡塑发泡材料保温，厚度9mm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7.套管形式、规格：钢套管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1.管道、管件及弯管的制作安装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2.管件安装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3.管道保温（厚度20mm）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4.满水试验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5.管卡及管道支架制作、安装</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C051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8B03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BAC0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619E8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3D0A3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98D3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4641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030204018001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628F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配电箱（改造）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2.箱体尺寸：600*1600*350（宽*高*厚）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3.安装方式：落地式（明装）: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1.将原交流塑壳断路器(TMD R160A 3P)改为交流塑壳断路器(TMD R250A 3P)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2.增加一个交流塑壳断路器(TMD R50A 3P)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3.线路改造</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B4D3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37EBD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1BF2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4C03E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07C0F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48DC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793B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030208001001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960E2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铜芯电力电缆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1.安装部位:室内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2.安装方式：桥架内安装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3.规格：WDZ-YJV-4*16+1*10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1.电缆敷设（含竖井内敷设）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2.固定、挂牌、零时封头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3.电缆头制作安装（铜鼻子）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4.含揭（盖）板</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984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5B8C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81E7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86B98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5FCCE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FE3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E986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010401004001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2DC5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1.混凝土类别：商业砼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2.混凝土强度等级：C25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3.基础尺寸：250mm（宽）*600mm（高）*3000mm（长） 共计3台室外机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1.模板及支撑制作、安装、拆除、堆放、运输及清理模内杂物、刷隔离剂等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2.混凝土制作、运输、浇筑、振捣、养护</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69F6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8EF48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B023D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FFACD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3E555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7FE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C8A4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020302001001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AFF7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石膏板吊顶拆除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1.含天棚基层、面层拆除，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2.含垃圾外运</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E0F5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B3D2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F46F1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0DD19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6FA2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0"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9AAB7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FC0FA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020302001002</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1496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天棚吊顶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1、吊顶形式:同一标高，平面吊顶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2、吊顶龙骨:双层T型铝合金龙骨，龙骨架按05YJ1、05YJ7做法 ，不上人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3、面层:石膏板、封单层12mm石膏板(防开裂处理整板断缝)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4.放线定位开灯孔，预留检修口、风口等综合天花开孔，含加固处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[工程内容]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1.基层清理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2.吊杆制作，龙骨安装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3.基层板、面层铺贴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4.嵌缝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5.刷防护材料、油漆</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4D26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88DE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B0F3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3744F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3C429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402808">
            <w:pPr>
              <w:jc w:val="left"/>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863E57">
            <w:pPr>
              <w:jc w:val="center"/>
              <w:rPr>
                <w:rFonts w:hint="eastAsia" w:ascii="宋体" w:hAnsi="宋体" w:eastAsia="宋体" w:cs="宋体"/>
                <w:i w:val="0"/>
                <w:iCs w:val="0"/>
                <w:color w:val="000000"/>
                <w:sz w:val="20"/>
                <w:szCs w:val="20"/>
                <w:u w:val="none"/>
              </w:rPr>
            </w:pP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72CE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489863">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2C18D2">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62DDA9">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5A323B">
            <w:pPr>
              <w:jc w:val="right"/>
              <w:rPr>
                <w:rFonts w:hint="eastAsia" w:ascii="宋体" w:hAnsi="宋体" w:eastAsia="宋体" w:cs="宋体"/>
                <w:i w:val="0"/>
                <w:iCs w:val="0"/>
                <w:color w:val="000000"/>
                <w:sz w:val="20"/>
                <w:szCs w:val="20"/>
                <w:u w:val="none"/>
              </w:rPr>
            </w:pPr>
          </w:p>
        </w:tc>
      </w:tr>
      <w:tr w14:paraId="45B43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867" w:type="dxa"/>
            <w:gridSpan w:val="2"/>
            <w:tcBorders>
              <w:top w:val="single" w:color="000000" w:sz="4" w:space="0"/>
              <w:left w:val="single" w:color="000000" w:sz="8" w:space="0"/>
              <w:bottom w:val="single" w:color="000000" w:sz="4" w:space="0"/>
              <w:right w:val="single" w:color="000000" w:sz="4" w:space="0"/>
            </w:tcBorders>
            <w:shd w:val="clear" w:color="FFFFFF" w:fill="FFFFFF"/>
            <w:vAlign w:val="center"/>
          </w:tcPr>
          <w:p w14:paraId="0F4583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DC900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维护保养</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865654">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6543F9">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BD87E2">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9599AC">
            <w:pPr>
              <w:jc w:val="right"/>
              <w:rPr>
                <w:rFonts w:hint="eastAsia" w:ascii="宋体" w:hAnsi="宋体" w:eastAsia="宋体" w:cs="宋体"/>
                <w:i w:val="0"/>
                <w:iCs w:val="0"/>
                <w:color w:val="000000"/>
                <w:sz w:val="20"/>
                <w:szCs w:val="20"/>
                <w:u w:val="none"/>
              </w:rPr>
            </w:pPr>
          </w:p>
        </w:tc>
      </w:tr>
      <w:tr w14:paraId="373B2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451"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3A9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C482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CB001</w:t>
            </w: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4F245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空调、新风系统维护保养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1.部位:室内外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2.空调系统数量：15套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3.空调室外机数量：27台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4.空调室内机数量：152台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5.服务次数：设备运行期间一月一次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6.服务年限</w:t>
            </w:r>
            <w:r>
              <w:rPr>
                <w:rFonts w:hint="eastAsia" w:ascii="宋体" w:hAnsi="宋体" w:eastAsia="宋体" w:cs="宋体"/>
                <w:i w:val="0"/>
                <w:iCs w:val="0"/>
                <w:color w:val="000000"/>
                <w:kern w:val="0"/>
                <w:sz w:val="20"/>
                <w:szCs w:val="20"/>
                <w:highlight w:val="none"/>
                <w:u w:val="none"/>
                <w:lang w:val="en-US" w:eastAsia="zh-CN" w:bidi="ar"/>
              </w:rPr>
              <w:t>：3年（3年出现任何空调系统部件损坏，均由供应商承担部件和维修的费用）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[工程内容]</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1.检测空调制冷、制热是</w:t>
            </w:r>
            <w:r>
              <w:rPr>
                <w:rFonts w:hint="eastAsia" w:ascii="宋体" w:hAnsi="宋体" w:eastAsia="宋体" w:cs="宋体"/>
                <w:i w:val="0"/>
                <w:iCs w:val="0"/>
                <w:color w:val="000000"/>
                <w:kern w:val="0"/>
                <w:sz w:val="20"/>
                <w:szCs w:val="20"/>
                <w:u w:val="none"/>
                <w:lang w:val="en-US" w:eastAsia="zh-CN" w:bidi="ar"/>
              </w:rPr>
              <w:t>否正常，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2.机组的运动部件是否牢固，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3.室内机出风正常，无噪音，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4.机组运行声音是否正常，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5.室内机滤网清洁，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6.室内机电机检查及维修，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7.线控器检查及维修（模式调整，参数设定），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8.出回风口检查及维修，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9.风量调整，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10.空调室外机冷凝器的清洗，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11.压缩机检查及维修，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12.室外机电气系统的检查及调整，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13冷媒系统检查及维修（压力、温度），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14.屋面清洁，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15.检查主电源及各支路的各相电压，电流，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16.检查所有的接触器，触点是否清洁，接触是否可靠，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17.检测吸合的瞬间电流，对各接点进行紧固，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18.检查显示单元是否正常，各设置参数是否正确，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19.查看历史报警记录对报警内  容进行分析消除隐患，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20.对各种的系统保护功能进行检测，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21.排水通常无堵塞，</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22.管道保温情况检查，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23.如有水垢或异物堵塞管道，用药剂疏通管道，保证排水顺畅，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24.检测冷媒压力是否正常，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25.冷媒管道保温情况检查，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26.如出现压降，则捡漏、修复后补充冷媒。</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750E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元/年</w:t>
            </w: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AD00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B3706D">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0989F0">
            <w:pPr>
              <w:jc w:val="right"/>
              <w:rPr>
                <w:rFonts w:hint="eastAsia" w:ascii="宋体" w:hAnsi="宋体" w:eastAsia="宋体" w:cs="宋体"/>
                <w:i w:val="0"/>
                <w:iCs w:val="0"/>
                <w:color w:val="000000"/>
                <w:sz w:val="20"/>
                <w:szCs w:val="20"/>
                <w:u w:val="none"/>
              </w:rPr>
            </w:pPr>
          </w:p>
        </w:tc>
      </w:tr>
      <w:tr w14:paraId="71DF1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86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14:paraId="0CFFC2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33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96D1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分部小计</w:t>
            </w:r>
          </w:p>
        </w:tc>
        <w:tc>
          <w:tcPr>
            <w:tcW w:w="93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7E9B3B">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547EEC">
            <w:pPr>
              <w:jc w:val="lef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DC7620">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F3FD19">
            <w:pPr>
              <w:jc w:val="right"/>
              <w:rPr>
                <w:rFonts w:hint="eastAsia" w:ascii="宋体" w:hAnsi="宋体" w:eastAsia="宋体" w:cs="宋体"/>
                <w:i w:val="0"/>
                <w:iCs w:val="0"/>
                <w:color w:val="000000"/>
                <w:sz w:val="20"/>
                <w:szCs w:val="20"/>
                <w:u w:val="none"/>
              </w:rPr>
            </w:pPr>
          </w:p>
        </w:tc>
      </w:tr>
      <w:tr w14:paraId="7F681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867" w:type="dxa"/>
            <w:gridSpan w:val="2"/>
            <w:tcBorders>
              <w:top w:val="single" w:color="000000" w:sz="4" w:space="0"/>
              <w:left w:val="single" w:color="000000" w:sz="4" w:space="0"/>
              <w:bottom w:val="single" w:color="auto" w:sz="4" w:space="0"/>
              <w:right w:val="single" w:color="000000" w:sz="4" w:space="0"/>
            </w:tcBorders>
            <w:shd w:val="clear" w:color="FFFFFF" w:fill="FFFFFF"/>
            <w:vAlign w:val="center"/>
          </w:tcPr>
          <w:p w14:paraId="5BF8A8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3395" w:type="dxa"/>
            <w:tcBorders>
              <w:top w:val="single" w:color="000000" w:sz="4" w:space="0"/>
              <w:left w:val="single" w:color="000000" w:sz="4" w:space="0"/>
              <w:bottom w:val="single" w:color="auto" w:sz="4" w:space="0"/>
              <w:right w:val="single" w:color="000000" w:sz="4" w:space="0"/>
            </w:tcBorders>
            <w:shd w:val="clear" w:color="FFFFFF" w:fill="FFFFFF"/>
            <w:vAlign w:val="center"/>
          </w:tcPr>
          <w:p w14:paraId="794CE400">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合计</w:t>
            </w:r>
          </w:p>
        </w:tc>
        <w:tc>
          <w:tcPr>
            <w:tcW w:w="934" w:type="dxa"/>
            <w:tcBorders>
              <w:top w:val="single" w:color="000000" w:sz="4" w:space="0"/>
              <w:left w:val="single" w:color="000000" w:sz="4" w:space="0"/>
              <w:bottom w:val="single" w:color="auto" w:sz="4" w:space="0"/>
              <w:right w:val="single" w:color="000000" w:sz="4" w:space="0"/>
            </w:tcBorders>
            <w:shd w:val="clear" w:color="FFFFFF" w:fill="FFFFFF"/>
            <w:vAlign w:val="center"/>
          </w:tcPr>
          <w:p w14:paraId="1445B5DC">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auto" w:sz="4" w:space="0"/>
              <w:right w:val="single" w:color="000000" w:sz="4" w:space="0"/>
            </w:tcBorders>
            <w:shd w:val="clear" w:color="FFFFFF" w:fill="FFFFFF"/>
            <w:vAlign w:val="center"/>
          </w:tcPr>
          <w:p w14:paraId="7A279CB9">
            <w:pPr>
              <w:jc w:val="lef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auto" w:sz="4" w:space="0"/>
              <w:right w:val="single" w:color="000000" w:sz="4" w:space="0"/>
            </w:tcBorders>
            <w:shd w:val="clear" w:color="FFFFFF" w:fill="FFFFFF"/>
            <w:vAlign w:val="center"/>
          </w:tcPr>
          <w:p w14:paraId="2AE8ED67">
            <w:pPr>
              <w:jc w:val="right"/>
              <w:rPr>
                <w:rFonts w:hint="eastAsia" w:ascii="宋体" w:hAnsi="宋体" w:eastAsia="宋体" w:cs="宋体"/>
                <w:i w:val="0"/>
                <w:iCs w:val="0"/>
                <w:color w:val="000000"/>
                <w:sz w:val="20"/>
                <w:szCs w:val="20"/>
                <w:u w:val="none"/>
              </w:rPr>
            </w:pPr>
          </w:p>
        </w:tc>
        <w:tc>
          <w:tcPr>
            <w:tcW w:w="1523" w:type="dxa"/>
            <w:tcBorders>
              <w:top w:val="single" w:color="000000" w:sz="4" w:space="0"/>
              <w:left w:val="single" w:color="000000" w:sz="4" w:space="0"/>
              <w:bottom w:val="single" w:color="auto" w:sz="4" w:space="0"/>
              <w:right w:val="single" w:color="000000" w:sz="4" w:space="0"/>
            </w:tcBorders>
            <w:shd w:val="clear" w:color="FFFFFF" w:fill="FFFFFF"/>
            <w:vAlign w:val="center"/>
          </w:tcPr>
          <w:p w14:paraId="53093953">
            <w:pPr>
              <w:jc w:val="right"/>
              <w:rPr>
                <w:rFonts w:hint="eastAsia" w:ascii="宋体" w:hAnsi="宋体" w:eastAsia="宋体" w:cs="宋体"/>
                <w:i w:val="0"/>
                <w:iCs w:val="0"/>
                <w:color w:val="000000"/>
                <w:sz w:val="20"/>
                <w:szCs w:val="20"/>
                <w:u w:val="none"/>
              </w:rPr>
            </w:pPr>
          </w:p>
        </w:tc>
      </w:tr>
    </w:tbl>
    <w:p w14:paraId="3C3D08F2">
      <w:pPr>
        <w:rPr>
          <w:rFonts w:hint="default"/>
          <w:lang w:val="en-US" w:eastAsia="zh-CN"/>
        </w:rPr>
      </w:pPr>
    </w:p>
    <w:p w14:paraId="19011CB2">
      <w:r>
        <w:rPr>
          <w:rFonts w:hint="eastAsia" w:cs="宋体"/>
          <w:b w:val="0"/>
          <w:bCs w:val="0"/>
          <w:color w:val="auto"/>
          <w:sz w:val="21"/>
          <w:szCs w:val="21"/>
          <w:highlight w:val="none"/>
          <w:lang w:val="en-US" w:eastAsia="zh-CN"/>
        </w:rPr>
        <w:t>（</w:t>
      </w:r>
      <w:r>
        <w:rPr>
          <w:rFonts w:hint="eastAsia" w:ascii="宋体" w:hAnsi="宋体" w:cs="宋体"/>
          <w:b/>
          <w:bCs/>
          <w:sz w:val="24"/>
          <w:szCs w:val="24"/>
          <w:highlight w:val="none"/>
        </w:rPr>
        <w:t>注：1</w:t>
      </w:r>
      <w:r>
        <w:rPr>
          <w:rFonts w:hint="eastAsia" w:ascii="宋体" w:hAnsi="宋体" w:cs="宋体"/>
          <w:b/>
          <w:bCs/>
          <w:sz w:val="24"/>
          <w:szCs w:val="24"/>
          <w:highlight w:val="none"/>
          <w:lang w:val="en-US" w:eastAsia="zh-CN"/>
        </w:rPr>
        <w:t>.大修服务部分，根据损坏情况，以成交供应商所报最终综合单价及甲乙双方共同确认的实际工作量据实计算；</w:t>
      </w:r>
      <w:r>
        <w:rPr>
          <w:rFonts w:hint="eastAsia" w:ascii="宋体" w:hAnsi="宋体" w:eastAsia="宋体" w:cs="宋体"/>
          <w:b/>
          <w:bCs/>
          <w:sz w:val="24"/>
          <w:szCs w:val="24"/>
          <w:highlight w:val="none"/>
          <w:lang w:val="en-US" w:eastAsia="zh-CN"/>
        </w:rPr>
        <w:t>2.局部改造部分，以成交供应商所报最终综合单价及</w:t>
      </w:r>
      <w:r>
        <w:rPr>
          <w:rFonts w:hint="eastAsia" w:ascii="宋体" w:hAnsi="宋体" w:cs="宋体"/>
          <w:b/>
          <w:bCs/>
          <w:sz w:val="24"/>
          <w:szCs w:val="24"/>
          <w:highlight w:val="none"/>
          <w:lang w:val="en-US" w:eastAsia="zh-CN"/>
        </w:rPr>
        <w:t>甲乙双方共同确认的</w:t>
      </w:r>
      <w:r>
        <w:rPr>
          <w:rFonts w:hint="eastAsia" w:ascii="宋体" w:hAnsi="宋体" w:eastAsia="宋体" w:cs="宋体"/>
          <w:b/>
          <w:bCs/>
          <w:sz w:val="24"/>
          <w:szCs w:val="24"/>
          <w:highlight w:val="none"/>
          <w:lang w:val="en-US" w:eastAsia="zh-CN"/>
        </w:rPr>
        <w:t>实际工作量据实计算。3.维护保养部分</w:t>
      </w:r>
      <w:r>
        <w:rPr>
          <w:rFonts w:hint="eastAsia" w:ascii="宋体" w:hAnsi="宋体" w:eastAsia="宋体" w:cs="宋体"/>
          <w:b/>
          <w:bCs/>
          <w:sz w:val="24"/>
          <w:szCs w:val="24"/>
          <w:highlight w:val="none"/>
        </w:rPr>
        <w:t>合同总价一次包死，不受市场价格变化因素的影响</w:t>
      </w:r>
      <w:r>
        <w:rPr>
          <w:rFonts w:hint="eastAsia" w:ascii="宋体" w:hAnsi="宋体" w:eastAsia="宋体" w:cs="宋体"/>
          <w:b/>
          <w:bCs/>
          <w:sz w:val="24"/>
          <w:szCs w:val="24"/>
          <w:highlight w:val="none"/>
          <w:lang w:val="en-US" w:eastAsia="zh-CN"/>
        </w:rPr>
        <w:t>。</w:t>
      </w:r>
      <w:r>
        <w:rPr>
          <w:rFonts w:hint="eastAsia" w:cs="宋体"/>
          <w:b w:val="0"/>
          <w:bCs w:val="0"/>
          <w:color w:val="auto"/>
          <w:sz w:val="21"/>
          <w:szCs w:val="21"/>
          <w:highlight w:val="none"/>
          <w:lang w:val="en-US" w:eastAsia="zh-CN"/>
        </w:rPr>
        <w:t>）</w:t>
      </w:r>
      <w:bookmarkStart w:id="1" w:name="_GoBack"/>
      <w:bookmarkEnd w:id="1"/>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C95C5F"/>
    <w:rsid w:val="51C95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列出段落1"/>
    <w:basedOn w:val="1"/>
    <w:autoRedefine/>
    <w:qFormat/>
    <w:uiPriority w:val="0"/>
    <w:pPr>
      <w:ind w:firstLine="420" w:firstLineChars="200"/>
    </w:pPr>
    <w:rPr>
      <w:rFonts w:ascii="Calibri" w:hAnsi="Calibri"/>
    </w:rPr>
  </w:style>
  <w:style w:type="paragraph" w:styleId="6">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2025-09-05T00:58:00Z</dcterms:created>
  <dc:creator>我在
丶等风</dc:creator>
  <cp:lastModifiedBy>我在
丶等风</cp:lastModifiedBy>
  <dcterms:modified xsi:type="dcterms:W3CDTF">2025-09-05T01:00:08Z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958FD169EE7F4B4CB96BACE458272746_11</vt:lpwstr>
  </property>
  <property fmtid="{D5CDD505-2E9C-101B-9397-08002B2CF9AE}" pid="4" name="KSOTemplateDocerSaveRecord">
    <vt:lpwstr>eyJoZGlkIjoiZDU5ZmUxYTc5ZjVhNjc2ZjlmNjIwZDE5NzZjZGZkMmMiLCJ1c2VySWQiOiIzMjExNjMxODcifQ==</vt:lpwstr>
  </property>
</Properties>
</file>